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158D8" w:rsidRDefault="00F92268" w:rsidP="00F246C7">
            <w:pPr>
              <w:pStyle w:val="RefTableData"/>
            </w:pPr>
            <w:r w:rsidRPr="001158D8">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1FE9D85" w:rsidR="00F92268" w:rsidRPr="001158D8" w:rsidRDefault="001158D8" w:rsidP="00F246C7">
            <w:pPr>
              <w:pStyle w:val="RefTableHeader"/>
            </w:pPr>
            <w:r w:rsidRPr="001158D8">
              <w:t>2004-A</w:t>
            </w:r>
          </w:p>
        </w:tc>
      </w:tr>
    </w:tbl>
    <w:p w14:paraId="74FBA5B4" w14:textId="77777777" w:rsidR="00051356" w:rsidRDefault="00051356" w:rsidP="00A672B3">
      <w:pPr>
        <w:pStyle w:val="BodyText"/>
        <w:rPr>
          <w:b/>
          <w:bCs/>
          <w:sz w:val="16"/>
          <w:szCs w:val="16"/>
        </w:rPr>
        <w:sectPr w:rsidR="00051356" w:rsidSect="00B26AB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BDE6678" w:rsidR="004B15BB" w:rsidRPr="00BD1CC1" w:rsidRDefault="001158D8" w:rsidP="007E5C16">
      <w:pPr>
        <w:pStyle w:val="Heading1"/>
      </w:pPr>
      <w:r w:rsidRPr="00E02D70">
        <w:t>Specialty Guideline Management</w:t>
      </w:r>
      <w:r>
        <w:br/>
      </w:r>
      <w:r w:rsidRPr="001158D8">
        <w:t>Entyvio</w:t>
      </w:r>
    </w:p>
    <w:p w14:paraId="78861C92" w14:textId="6F4AB937" w:rsidR="00203468" w:rsidRPr="00BD1CC1" w:rsidRDefault="00C64534" w:rsidP="008E0F0D">
      <w:pPr>
        <w:pStyle w:val="Heading2"/>
      </w:pPr>
      <w:r w:rsidRPr="00BD1CC1">
        <w:t xml:space="preserve">Products Referenced by this </w:t>
      </w:r>
      <w:r w:rsidR="00501602" w:rsidRPr="00BD1CC1">
        <w:t>Document</w:t>
      </w:r>
    </w:p>
    <w:p w14:paraId="5455152B" w14:textId="5D799EB8"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D1782">
        <w:t>Over</w:t>
      </w:r>
      <w:r w:rsidR="00C449A0">
        <w:t>-</w:t>
      </w:r>
      <w:r w:rsidR="009D1782">
        <w:t>the</w:t>
      </w:r>
      <w:r w:rsidR="00C449A0">
        <w:t>-</w:t>
      </w:r>
      <w:r w:rsidR="009D1782">
        <w:t>counter (</w:t>
      </w:r>
      <w:r w:rsidRPr="00BD1CC1">
        <w:t>OTC</w:t>
      </w:r>
      <w:r w:rsidR="009D1782">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7D53824C" w:rsidR="00585FFF" w:rsidRPr="00BD1CC1" w:rsidRDefault="00E02D70" w:rsidP="00E82ABA">
            <w:pPr>
              <w:pStyle w:val="TableDataUnpadded"/>
            </w:pPr>
            <w:r w:rsidRPr="00E02D70">
              <w:t>Entyvio</w:t>
            </w:r>
          </w:p>
        </w:tc>
        <w:tc>
          <w:tcPr>
            <w:tcW w:w="5595" w:type="dxa"/>
          </w:tcPr>
          <w:p w14:paraId="7E26A004" w14:textId="5D8A0107" w:rsidR="00585FFF" w:rsidRPr="00BD1CC1" w:rsidRDefault="00E02D70" w:rsidP="00E82ABA">
            <w:pPr>
              <w:pStyle w:val="TableDataUnpadded"/>
            </w:pPr>
            <w:r w:rsidRPr="00E02D70">
              <w:t>vedolizumab</w:t>
            </w:r>
          </w:p>
        </w:tc>
      </w:tr>
    </w:tbl>
    <w:bookmarkEnd w:id="0"/>
    <w:p w14:paraId="14CE6108" w14:textId="506E97DB" w:rsidR="00FC1AAD" w:rsidRDefault="00ED052F" w:rsidP="00FF66BF">
      <w:pPr>
        <w:pStyle w:val="Heading2"/>
        <w:tabs>
          <w:tab w:val="left" w:pos="9195"/>
        </w:tabs>
      </w:pPr>
      <w:r>
        <w:t>Indications</w:t>
      </w:r>
    </w:p>
    <w:p w14:paraId="3A5306F9" w14:textId="1F504935" w:rsidR="00E02D70" w:rsidRPr="00E02D70" w:rsidRDefault="00E02D70" w:rsidP="00E02D70">
      <w:pPr>
        <w:pStyle w:val="BodyText"/>
      </w:pPr>
      <w:r w:rsidRPr="00E02D70">
        <w:t>The indications below including FDA-approved indications and compendial uses are considered a covered benefit provided that all the approval criteria are met and the member has no exclusions to the prescribed therapy.</w:t>
      </w:r>
    </w:p>
    <w:p w14:paraId="134B5687" w14:textId="5064F86A" w:rsidR="00ED052F" w:rsidRPr="00BD1CC1" w:rsidRDefault="00ED052F" w:rsidP="00ED052F">
      <w:pPr>
        <w:pStyle w:val="Heading3"/>
        <w:keepNext w:val="0"/>
      </w:pPr>
      <w:r w:rsidRPr="00BD1CC1">
        <w:t>FDA-</w:t>
      </w:r>
      <w:r w:rsidR="001158D8">
        <w:t>A</w:t>
      </w:r>
      <w:r w:rsidRPr="00BD1CC1">
        <w:t>pproved Indications</w:t>
      </w:r>
      <w:r w:rsidR="00E02D70" w:rsidRPr="00E02D70">
        <w:rPr>
          <w:vertAlign w:val="superscript"/>
        </w:rPr>
        <w:t>1</w:t>
      </w:r>
    </w:p>
    <w:p w14:paraId="5E950D22" w14:textId="22CF1AD3" w:rsidR="00E02D70" w:rsidRDefault="00E02D70" w:rsidP="001158D8">
      <w:pPr>
        <w:pStyle w:val="ListParagraph"/>
        <w:numPr>
          <w:ilvl w:val="0"/>
          <w:numId w:val="26"/>
        </w:numPr>
      </w:pPr>
      <w:r>
        <w:t>Adult patients with moderately to severely active ulcerative colitis (UC)</w:t>
      </w:r>
    </w:p>
    <w:p w14:paraId="4C434745" w14:textId="7E44C805" w:rsidR="00ED052F" w:rsidRDefault="00E02D70" w:rsidP="001158D8">
      <w:pPr>
        <w:pStyle w:val="ListParagraph"/>
        <w:numPr>
          <w:ilvl w:val="0"/>
          <w:numId w:val="26"/>
        </w:numPr>
      </w:pPr>
      <w:r>
        <w:t>Adult patients with moderately to severely active Crohn’s disease (CD)</w:t>
      </w:r>
    </w:p>
    <w:p w14:paraId="0B5EC236" w14:textId="12776C77" w:rsidR="0044763A" w:rsidRPr="001158D8" w:rsidRDefault="009F2EF1" w:rsidP="0044763A">
      <w:pPr>
        <w:pStyle w:val="Heading3"/>
      </w:pPr>
      <w:r>
        <w:t>Compendial Uses</w:t>
      </w:r>
      <w:r w:rsidR="00E02D70" w:rsidRPr="001158D8">
        <w:rPr>
          <w:vertAlign w:val="superscript"/>
        </w:rPr>
        <w:t>5-7</w:t>
      </w:r>
      <w:r w:rsidR="00D250E3">
        <w:rPr>
          <w:vertAlign w:val="superscript"/>
        </w:rPr>
        <w:t>,11</w:t>
      </w:r>
    </w:p>
    <w:p w14:paraId="2B8C9ED3" w14:textId="3B8D1718" w:rsidR="00F4565A" w:rsidRDefault="00F4565A" w:rsidP="00296F8A">
      <w:pPr>
        <w:pStyle w:val="ListParagraph"/>
        <w:numPr>
          <w:ilvl w:val="0"/>
          <w:numId w:val="44"/>
        </w:numPr>
      </w:pPr>
      <w:r>
        <w:t xml:space="preserve">Immune checkpoint </w:t>
      </w:r>
      <w:proofErr w:type="spellStart"/>
      <w:r>
        <w:t>hibitor</w:t>
      </w:r>
      <w:proofErr w:type="spellEnd"/>
      <w:r>
        <w:t>-related toxicity</w:t>
      </w:r>
    </w:p>
    <w:p w14:paraId="340D4626" w14:textId="358A1993" w:rsidR="00F4565A" w:rsidRDefault="00F4565A" w:rsidP="00296F8A">
      <w:pPr>
        <w:pStyle w:val="ListParagraph"/>
        <w:numPr>
          <w:ilvl w:val="0"/>
          <w:numId w:val="44"/>
        </w:numPr>
      </w:pPr>
      <w:r>
        <w:t>Acute graft versus host disease</w:t>
      </w:r>
    </w:p>
    <w:p w14:paraId="0D5A9DD5" w14:textId="63EA38A9" w:rsidR="009A5649" w:rsidRPr="00BD1CC1" w:rsidRDefault="009A5649" w:rsidP="009A5649">
      <w:pPr>
        <w:pStyle w:val="BodyText"/>
        <w:rPr>
          <w:rFonts w:eastAsia="Arial"/>
        </w:rPr>
      </w:pPr>
      <w:r w:rsidRPr="00BD1CC1">
        <w:t xml:space="preserve">All other indications are considered experimental/investigational and </w:t>
      </w:r>
      <w:r w:rsidRPr="00BD1CC1">
        <w:rPr>
          <w:rFonts w:eastAsia="Arial"/>
        </w:rPr>
        <w:t>not medically necessary.</w:t>
      </w:r>
    </w:p>
    <w:p w14:paraId="36381B6D" w14:textId="33AF975D" w:rsidR="000D2496" w:rsidRPr="00BD1CC1" w:rsidRDefault="000D2496" w:rsidP="000D2496">
      <w:pPr>
        <w:pStyle w:val="Heading2"/>
      </w:pPr>
      <w:r w:rsidRPr="00BD1CC1">
        <w:t>Documentation</w:t>
      </w:r>
    </w:p>
    <w:p w14:paraId="2180ED6E" w14:textId="3B20CA30" w:rsidR="000D2496" w:rsidRDefault="000D2496" w:rsidP="000D2496">
      <w:pPr>
        <w:pStyle w:val="BodyText"/>
      </w:pPr>
      <w:r w:rsidRPr="00BD1CC1">
        <w:t>Submission of the following information is necessary to initiate the prior authorization review:</w:t>
      </w:r>
    </w:p>
    <w:p w14:paraId="40139B0A" w14:textId="73F9627C" w:rsidR="00E02D70" w:rsidRDefault="00E02D70" w:rsidP="001158D8">
      <w:pPr>
        <w:pStyle w:val="Heading3"/>
      </w:pPr>
      <w:r>
        <w:lastRenderedPageBreak/>
        <w:t>Ulcerative colitis (UC) and Crohn’s disease (CD)</w:t>
      </w:r>
    </w:p>
    <w:p w14:paraId="50BF39CC" w14:textId="41442117" w:rsidR="00E02D70" w:rsidRDefault="00E02D70" w:rsidP="001158D8">
      <w:pPr>
        <w:pStyle w:val="BodyText"/>
      </w:pPr>
      <w:r w:rsidRPr="00C449A0">
        <w:t>Continuation requests:</w:t>
      </w:r>
      <w:r>
        <w:t xml:space="preserve"> Chart notes or medical record documentation supporting positive clinical response to therapy or remission.</w:t>
      </w:r>
    </w:p>
    <w:p w14:paraId="08E35B7E" w14:textId="7F97B021" w:rsidR="00E02D70" w:rsidRDefault="00E02D70" w:rsidP="001158D8">
      <w:pPr>
        <w:pStyle w:val="Heading3"/>
      </w:pPr>
      <w:r>
        <w:t>Immune checkpoint inhibitor-related toxicity</w:t>
      </w:r>
      <w:r w:rsidR="00B4614B">
        <w:t xml:space="preserve"> and </w:t>
      </w:r>
      <w:r w:rsidR="0043731C">
        <w:t xml:space="preserve">acute </w:t>
      </w:r>
      <w:r w:rsidR="00B4614B">
        <w:t>graft versus host disease</w:t>
      </w:r>
    </w:p>
    <w:p w14:paraId="4D6444CA" w14:textId="1539A53A" w:rsidR="00E02D70" w:rsidRDefault="00E02D70" w:rsidP="001158D8">
      <w:pPr>
        <w:pStyle w:val="BodyText"/>
      </w:pPr>
      <w:r>
        <w:t>Chart notes, medical record documentation, or claims history supporting previous medications tried (if applicable), including response to therapy. If therapy is not advisable, documentation of clinical reason to avoid therapy.</w:t>
      </w:r>
    </w:p>
    <w:p w14:paraId="4A5B15F8" w14:textId="24F4DC26" w:rsidR="00006174" w:rsidRPr="00E0509F" w:rsidRDefault="00006174" w:rsidP="00006174">
      <w:pPr>
        <w:pStyle w:val="Heading2"/>
      </w:pPr>
      <w:r w:rsidRPr="00BD1CC1">
        <w:t>Prescriber Specialties</w:t>
      </w:r>
    </w:p>
    <w:p w14:paraId="3339DD5A" w14:textId="77777777" w:rsidR="00006174" w:rsidRDefault="00006174" w:rsidP="001158D8">
      <w:pPr>
        <w:pStyle w:val="BodyText"/>
      </w:pPr>
      <w:r w:rsidRPr="00BD1CC1">
        <w:t>This medication must be prescribed by or in consultation with one of the following:</w:t>
      </w:r>
    </w:p>
    <w:p w14:paraId="3DB77D7C" w14:textId="02097889" w:rsidR="00E02D70" w:rsidRDefault="00E02D70" w:rsidP="001158D8">
      <w:pPr>
        <w:pStyle w:val="ListParagraph"/>
        <w:numPr>
          <w:ilvl w:val="0"/>
          <w:numId w:val="32"/>
        </w:numPr>
      </w:pPr>
      <w:r>
        <w:t>Crohn’s disease and ulcerative colitis: gastroenterologist</w:t>
      </w:r>
    </w:p>
    <w:p w14:paraId="7EC7CC76" w14:textId="5C1C6CA1" w:rsidR="00E02D70" w:rsidRDefault="00E02D70" w:rsidP="001158D8">
      <w:pPr>
        <w:pStyle w:val="ListParagraph"/>
        <w:numPr>
          <w:ilvl w:val="0"/>
          <w:numId w:val="32"/>
        </w:numPr>
      </w:pPr>
      <w:r>
        <w:t xml:space="preserve">Immune checkpoint inhibitor-related toxicity: </w:t>
      </w:r>
      <w:r w:rsidR="00C449A0">
        <w:t xml:space="preserve">gastroenterologist, </w:t>
      </w:r>
      <w:r>
        <w:t>hematologist</w:t>
      </w:r>
      <w:r w:rsidR="00C449A0">
        <w:t>,</w:t>
      </w:r>
      <w:r>
        <w:t xml:space="preserve"> or oncologist</w:t>
      </w:r>
    </w:p>
    <w:p w14:paraId="2869EC60" w14:textId="74F24E55" w:rsidR="00B4614B" w:rsidRPr="00BD1CC1" w:rsidRDefault="00F72892" w:rsidP="001158D8">
      <w:pPr>
        <w:pStyle w:val="ListParagraph"/>
        <w:numPr>
          <w:ilvl w:val="0"/>
          <w:numId w:val="32"/>
        </w:numPr>
      </w:pPr>
      <w:r>
        <w:t>Acute g</w:t>
      </w:r>
      <w:r w:rsidR="00B4614B">
        <w:t>raft versus host disease: hematologist or oncologist</w:t>
      </w:r>
    </w:p>
    <w:p w14:paraId="50A38FBA" w14:textId="374A1FDF" w:rsidR="00FE0C63" w:rsidRPr="001158D8" w:rsidRDefault="00685107" w:rsidP="00E050E1">
      <w:pPr>
        <w:pStyle w:val="Heading2"/>
        <w:rPr>
          <w:lang w:val="it-IT"/>
        </w:rPr>
      </w:pPr>
      <w:r w:rsidRPr="001158D8">
        <w:rPr>
          <w:lang w:val="it-IT"/>
        </w:rPr>
        <w:t>Coverage Criteria</w:t>
      </w:r>
    </w:p>
    <w:p w14:paraId="2D8F1B11" w14:textId="644043B6" w:rsidR="00E02D70" w:rsidRPr="001158D8" w:rsidRDefault="00E02D70" w:rsidP="001158D8">
      <w:pPr>
        <w:pStyle w:val="Heading3"/>
      </w:pPr>
      <w:r w:rsidRPr="001158D8">
        <w:t>Ulcerative colitis (UC)</w:t>
      </w:r>
      <w:r w:rsidRPr="001158D8">
        <w:rPr>
          <w:vertAlign w:val="superscript"/>
        </w:rPr>
        <w:t>1,2,4,8</w:t>
      </w:r>
    </w:p>
    <w:p w14:paraId="48C45B42" w14:textId="2FBA70F0" w:rsidR="00E02D70" w:rsidRPr="00E02D70" w:rsidRDefault="00E02D70" w:rsidP="001158D8">
      <w:pPr>
        <w:pStyle w:val="BodyText"/>
      </w:pPr>
      <w:r w:rsidRPr="00E02D70">
        <w:t>Authorization of 12 months may be granted for treatment of moderately to severely active ulcerative colitis.</w:t>
      </w:r>
    </w:p>
    <w:p w14:paraId="2FEDBBCF" w14:textId="16FED07E" w:rsidR="00E02D70" w:rsidRPr="00E02D70" w:rsidRDefault="00E02D70" w:rsidP="001158D8">
      <w:pPr>
        <w:pStyle w:val="Heading3"/>
      </w:pPr>
      <w:r w:rsidRPr="00E02D70">
        <w:t>Crohn’s disease (CD)</w:t>
      </w:r>
      <w:r w:rsidRPr="001158D8">
        <w:rPr>
          <w:vertAlign w:val="superscript"/>
        </w:rPr>
        <w:t>1,3,9</w:t>
      </w:r>
    </w:p>
    <w:p w14:paraId="243FC4CB" w14:textId="1E8B6A40" w:rsidR="00E02D70" w:rsidRPr="00E02D70" w:rsidRDefault="00E02D70" w:rsidP="001158D8">
      <w:pPr>
        <w:pStyle w:val="BodyText"/>
      </w:pPr>
      <w:r w:rsidRPr="00E02D70">
        <w:t>Authorization of 12 months may be granted for treatment of moderately to severely active Crohn’s disease.</w:t>
      </w:r>
    </w:p>
    <w:p w14:paraId="3D6D65A8" w14:textId="032F3B59" w:rsidR="00E02D70" w:rsidRPr="00E02D70" w:rsidRDefault="00E02D70" w:rsidP="001158D8">
      <w:pPr>
        <w:pStyle w:val="Heading3"/>
      </w:pPr>
      <w:r w:rsidRPr="00E02D70">
        <w:t>Immune checkpoint inhibitor-related toxicity</w:t>
      </w:r>
      <w:r w:rsidRPr="001158D8">
        <w:rPr>
          <w:vertAlign w:val="superscript"/>
        </w:rPr>
        <w:t>5-7</w:t>
      </w:r>
    </w:p>
    <w:p w14:paraId="554B6E8F" w14:textId="6577E287" w:rsidR="00B836B0" w:rsidRDefault="00E02D70" w:rsidP="001158D8">
      <w:pPr>
        <w:pStyle w:val="BodyText"/>
      </w:pPr>
      <w:r w:rsidRPr="00E02D70">
        <w:t xml:space="preserve">Authorization of 6 months may be granted for treatment of immune checkpoint inhibitor-related diarrhea or colitis when the member has experienced an inadequate response, intolerance, or </w:t>
      </w:r>
      <w:r w:rsidR="002D3E5A">
        <w:t xml:space="preserve">has a </w:t>
      </w:r>
      <w:r w:rsidRPr="00E02D70">
        <w:t>contraindication to systemic corticosteroids or infliximab.</w:t>
      </w:r>
    </w:p>
    <w:p w14:paraId="1206E473" w14:textId="4DDF096F" w:rsidR="000957BC" w:rsidRDefault="000957BC" w:rsidP="000957BC">
      <w:pPr>
        <w:pStyle w:val="Heading3"/>
      </w:pPr>
      <w:r>
        <w:t xml:space="preserve">Acute graft versus host </w:t>
      </w:r>
      <w:r w:rsidRPr="000957BC">
        <w:t>disease</w:t>
      </w:r>
      <w:r>
        <w:rPr>
          <w:vertAlign w:val="superscript"/>
        </w:rPr>
        <w:t>5,</w:t>
      </w:r>
      <w:r w:rsidRPr="000957BC">
        <w:rPr>
          <w:vertAlign w:val="superscript"/>
        </w:rPr>
        <w:t>11</w:t>
      </w:r>
    </w:p>
    <w:p w14:paraId="3155A867" w14:textId="4E95CBF0" w:rsidR="0043731C" w:rsidRDefault="0043731C" w:rsidP="0043731C">
      <w:pPr>
        <w:pStyle w:val="BodyText"/>
      </w:pPr>
      <w:r>
        <w:t>Authorization of 12 months may be granted for treatment of acute graft versus host disease when either of the following criteria is met:</w:t>
      </w:r>
    </w:p>
    <w:p w14:paraId="3E4486A8" w14:textId="6AEE03C4" w:rsidR="0043731C" w:rsidRDefault="0043731C" w:rsidP="0043731C">
      <w:pPr>
        <w:pStyle w:val="ListParagraph"/>
        <w:numPr>
          <w:ilvl w:val="0"/>
          <w:numId w:val="42"/>
        </w:numPr>
      </w:pPr>
      <w:r>
        <w:t>Member has had an inadequate response to systemic corticosteroids.</w:t>
      </w:r>
    </w:p>
    <w:p w14:paraId="0893721F" w14:textId="6B000DAF" w:rsidR="0043731C" w:rsidRPr="0043731C" w:rsidRDefault="0043731C" w:rsidP="009344D7">
      <w:pPr>
        <w:pStyle w:val="ListParagraph"/>
        <w:numPr>
          <w:ilvl w:val="0"/>
          <w:numId w:val="42"/>
        </w:numPr>
      </w:pPr>
      <w:r>
        <w:t>Member has an intolerance or contraindication to corticosteroids.</w:t>
      </w:r>
    </w:p>
    <w:p w14:paraId="3A643EC3" w14:textId="5384CBED" w:rsidR="00A501AC" w:rsidRPr="00BD1CC1" w:rsidRDefault="00A501AC" w:rsidP="00A501AC">
      <w:pPr>
        <w:pStyle w:val="Heading2"/>
      </w:pPr>
      <w:r w:rsidRPr="00BD1CC1">
        <w:t>Continuation of Therapy</w:t>
      </w:r>
    </w:p>
    <w:p w14:paraId="49CA9B55" w14:textId="3595839F" w:rsidR="005D1964" w:rsidRDefault="005D1964" w:rsidP="005D1964">
      <w:pPr>
        <w:pStyle w:val="Heading3"/>
      </w:pPr>
      <w:r>
        <w:t>Ulcerative colitis (UC)</w:t>
      </w:r>
      <w:r w:rsidRPr="005D1964">
        <w:rPr>
          <w:vertAlign w:val="superscript"/>
        </w:rPr>
        <w:t>1,2,4,8</w:t>
      </w:r>
    </w:p>
    <w:p w14:paraId="304C7581" w14:textId="433A479C" w:rsidR="005D1964" w:rsidRDefault="005D1964" w:rsidP="00F62EC6">
      <w:pPr>
        <w:pStyle w:val="BodyText"/>
      </w:pPr>
      <w:r>
        <w:t>Authorization of 12 months may be granted for all members (including new members) who are using the requested medication for moderately to severely active ulcerative colitis and who achieve or maintain remission.</w:t>
      </w:r>
    </w:p>
    <w:p w14:paraId="63523DE0" w14:textId="2DD9FB19" w:rsidR="005D1964" w:rsidRDefault="005D1964" w:rsidP="00F62EC6">
      <w:pPr>
        <w:pStyle w:val="BodyText"/>
      </w:pPr>
      <w:r>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16D046A0" w14:textId="11B451F3" w:rsidR="005D1964" w:rsidRDefault="005D1964" w:rsidP="00F62EC6">
      <w:pPr>
        <w:pStyle w:val="ListParagraph"/>
        <w:numPr>
          <w:ilvl w:val="0"/>
          <w:numId w:val="33"/>
        </w:numPr>
      </w:pPr>
      <w:r>
        <w:t>Stool frequency</w:t>
      </w:r>
    </w:p>
    <w:p w14:paraId="50DDEEAB" w14:textId="4DB886A2" w:rsidR="005D1964" w:rsidRDefault="005D1964" w:rsidP="00F62EC6">
      <w:pPr>
        <w:pStyle w:val="ListParagraph"/>
        <w:numPr>
          <w:ilvl w:val="0"/>
          <w:numId w:val="33"/>
        </w:numPr>
      </w:pPr>
      <w:r>
        <w:t>Rectal bleeding</w:t>
      </w:r>
    </w:p>
    <w:p w14:paraId="175C7EF0" w14:textId="3B11C6E6" w:rsidR="005D1964" w:rsidRDefault="005D1964" w:rsidP="00F62EC6">
      <w:pPr>
        <w:pStyle w:val="ListParagraph"/>
        <w:numPr>
          <w:ilvl w:val="0"/>
          <w:numId w:val="33"/>
        </w:numPr>
      </w:pPr>
      <w:r>
        <w:t>Urgency of defecation</w:t>
      </w:r>
    </w:p>
    <w:p w14:paraId="5A166003" w14:textId="34083B6C" w:rsidR="005D1964" w:rsidRDefault="005D1964" w:rsidP="00F62EC6">
      <w:pPr>
        <w:pStyle w:val="ListParagraph"/>
        <w:numPr>
          <w:ilvl w:val="0"/>
          <w:numId w:val="33"/>
        </w:numPr>
      </w:pPr>
      <w:r>
        <w:t>C-reactive protein (CRP)</w:t>
      </w:r>
    </w:p>
    <w:p w14:paraId="49FAA9E8" w14:textId="3ADC7E38" w:rsidR="005D1964" w:rsidRDefault="005D1964" w:rsidP="00F62EC6">
      <w:pPr>
        <w:pStyle w:val="ListParagraph"/>
        <w:numPr>
          <w:ilvl w:val="0"/>
          <w:numId w:val="33"/>
        </w:numPr>
      </w:pPr>
      <w:r>
        <w:t>Fecal calprotectin (FC)</w:t>
      </w:r>
    </w:p>
    <w:p w14:paraId="4962828D" w14:textId="37E2F7F8" w:rsidR="005D1964" w:rsidRDefault="005D1964" w:rsidP="00F62EC6">
      <w:pPr>
        <w:pStyle w:val="ListParagraph"/>
        <w:numPr>
          <w:ilvl w:val="0"/>
          <w:numId w:val="33"/>
        </w:numPr>
      </w:pPr>
      <w:r>
        <w:t xml:space="preserve">Appearance of the mucosa on endoscopy, computed tomography </w:t>
      </w:r>
      <w:proofErr w:type="spellStart"/>
      <w:r>
        <w:t>enterography</w:t>
      </w:r>
      <w:proofErr w:type="spellEnd"/>
      <w:r>
        <w:t xml:space="preserve"> (CTE), magnetic resonance </w:t>
      </w:r>
      <w:proofErr w:type="spellStart"/>
      <w:r>
        <w:t>enterography</w:t>
      </w:r>
      <w:proofErr w:type="spellEnd"/>
      <w:r>
        <w:t xml:space="preserve"> (MRE), or intestinal ultrasound</w:t>
      </w:r>
    </w:p>
    <w:p w14:paraId="6B939C78" w14:textId="194FC5D4" w:rsidR="005D1964" w:rsidRDefault="005D1964" w:rsidP="00F62EC6">
      <w:pPr>
        <w:pStyle w:val="ListParagraph"/>
        <w:numPr>
          <w:ilvl w:val="0"/>
          <w:numId w:val="33"/>
        </w:numPr>
      </w:pPr>
      <w:r>
        <w:t>Improvement on a disease activity scoring tool (e.g., Ulcerative Colitis Endoscopic Index of Severity [UCEIS], Mayo score)</w:t>
      </w:r>
    </w:p>
    <w:p w14:paraId="60C930FF" w14:textId="1BA40995" w:rsidR="005D1964" w:rsidRDefault="005D1964" w:rsidP="005D1964">
      <w:pPr>
        <w:pStyle w:val="Heading3"/>
      </w:pPr>
      <w:r>
        <w:t>Crohn’s disease (CD)</w:t>
      </w:r>
      <w:r w:rsidRPr="001158D8">
        <w:rPr>
          <w:vertAlign w:val="superscript"/>
        </w:rPr>
        <w:t>1,3,9</w:t>
      </w:r>
    </w:p>
    <w:p w14:paraId="03F2F4F0" w14:textId="1E82B63E" w:rsidR="005D1964" w:rsidRDefault="005D1964" w:rsidP="00F62EC6">
      <w:pPr>
        <w:pStyle w:val="BodyText"/>
      </w:pPr>
      <w:r>
        <w:t>Authorization of 12 months may be granted for all members (including new members) who are using the requested medication for moderately to severely active Crohn’s disease and who achieve or maintain remission.</w:t>
      </w:r>
    </w:p>
    <w:p w14:paraId="37913178" w14:textId="744722F9" w:rsidR="005D1964" w:rsidRDefault="005D1964" w:rsidP="00F62EC6">
      <w:pPr>
        <w:pStyle w:val="BodyText"/>
      </w:pPr>
      <w:r>
        <w:t>Authorization of 12 months may be granted for all members (including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6621BBC7" w14:textId="7F6EBEC3" w:rsidR="005D1964" w:rsidRDefault="005D1964" w:rsidP="00F62EC6">
      <w:pPr>
        <w:pStyle w:val="ListParagraph"/>
        <w:numPr>
          <w:ilvl w:val="0"/>
          <w:numId w:val="35"/>
        </w:numPr>
      </w:pPr>
      <w:r>
        <w:t>Abdominal pain or tenderness</w:t>
      </w:r>
    </w:p>
    <w:p w14:paraId="6BBC37FD" w14:textId="569947A8" w:rsidR="005D1964" w:rsidRDefault="005D1964" w:rsidP="00F62EC6">
      <w:pPr>
        <w:pStyle w:val="ListParagraph"/>
        <w:numPr>
          <w:ilvl w:val="0"/>
          <w:numId w:val="35"/>
        </w:numPr>
      </w:pPr>
      <w:r>
        <w:t>Diarrhea</w:t>
      </w:r>
    </w:p>
    <w:p w14:paraId="1AAC54F7" w14:textId="515EEBF2" w:rsidR="005D1964" w:rsidRDefault="005D1964" w:rsidP="00F62EC6">
      <w:pPr>
        <w:pStyle w:val="ListParagraph"/>
        <w:numPr>
          <w:ilvl w:val="0"/>
          <w:numId w:val="35"/>
        </w:numPr>
      </w:pPr>
      <w:r>
        <w:t>Body weight</w:t>
      </w:r>
    </w:p>
    <w:p w14:paraId="35160CA0" w14:textId="418E7CAE" w:rsidR="005D1964" w:rsidRDefault="005D1964" w:rsidP="00F62EC6">
      <w:pPr>
        <w:pStyle w:val="ListParagraph"/>
        <w:numPr>
          <w:ilvl w:val="0"/>
          <w:numId w:val="35"/>
        </w:numPr>
      </w:pPr>
      <w:r>
        <w:t>Abdominal mass</w:t>
      </w:r>
    </w:p>
    <w:p w14:paraId="55ABA3F3" w14:textId="1251E9EB" w:rsidR="005D1964" w:rsidRDefault="005D1964" w:rsidP="00F62EC6">
      <w:pPr>
        <w:pStyle w:val="ListParagraph"/>
        <w:numPr>
          <w:ilvl w:val="0"/>
          <w:numId w:val="35"/>
        </w:numPr>
      </w:pPr>
      <w:r>
        <w:t>Hematocrit</w:t>
      </w:r>
    </w:p>
    <w:p w14:paraId="6368683C" w14:textId="6B879384" w:rsidR="005D1964" w:rsidRDefault="005D1964" w:rsidP="00F62EC6">
      <w:pPr>
        <w:pStyle w:val="ListParagraph"/>
        <w:numPr>
          <w:ilvl w:val="0"/>
          <w:numId w:val="35"/>
        </w:numPr>
      </w:pPr>
      <w:r>
        <w:t xml:space="preserve">Appearance of the mucosa on endoscopy, computed tomography </w:t>
      </w:r>
      <w:proofErr w:type="spellStart"/>
      <w:r>
        <w:t>enterography</w:t>
      </w:r>
      <w:proofErr w:type="spellEnd"/>
      <w:r>
        <w:t xml:space="preserve"> (CTE), magnetic resonance </w:t>
      </w:r>
      <w:proofErr w:type="spellStart"/>
      <w:r>
        <w:t>enterography</w:t>
      </w:r>
      <w:proofErr w:type="spellEnd"/>
      <w:r>
        <w:t xml:space="preserve"> (MRE), or intestinal ultrasound</w:t>
      </w:r>
    </w:p>
    <w:p w14:paraId="30D1750C" w14:textId="4B33232B" w:rsidR="005D1964" w:rsidRDefault="005D1964" w:rsidP="00F62EC6">
      <w:pPr>
        <w:pStyle w:val="ListParagraph"/>
        <w:numPr>
          <w:ilvl w:val="0"/>
          <w:numId w:val="35"/>
        </w:numPr>
      </w:pPr>
      <w:r>
        <w:t>Improvement on a disease activity scoring tool (e.g., Crohn’s Disease Activity Index [CDAI] score)</w:t>
      </w:r>
    </w:p>
    <w:p w14:paraId="5E6226E3" w14:textId="1765D723" w:rsidR="005D1964" w:rsidRDefault="005D1964" w:rsidP="005D1964">
      <w:pPr>
        <w:pStyle w:val="Heading3"/>
      </w:pPr>
      <w:r>
        <w:t>Immune checkpoint inhibitor-related toxicity</w:t>
      </w:r>
      <w:r w:rsidR="00B4614B">
        <w:t xml:space="preserve"> and </w:t>
      </w:r>
      <w:r w:rsidR="00F4565A">
        <w:t xml:space="preserve">acute </w:t>
      </w:r>
      <w:r w:rsidR="00B4614B">
        <w:t>graft versus host disease</w:t>
      </w:r>
    </w:p>
    <w:p w14:paraId="32C8905D" w14:textId="7C80F606" w:rsidR="00A501AC" w:rsidRPr="003D46B0" w:rsidRDefault="005D1964" w:rsidP="005D1964">
      <w:pPr>
        <w:pStyle w:val="BodyText"/>
      </w:pPr>
      <w:r>
        <w:t xml:space="preserve">All members (including new members) requesting authorization for continuation of therapy must meet all </w:t>
      </w:r>
      <w:r w:rsidR="001718FB">
        <w:t xml:space="preserve">requirements in the coverage </w:t>
      </w:r>
      <w:r>
        <w:t>criteria.</w:t>
      </w:r>
    </w:p>
    <w:p w14:paraId="05B6DEFF" w14:textId="25B10FA9" w:rsidR="008B1332" w:rsidRPr="00363EF7" w:rsidRDefault="008B1332" w:rsidP="008B1332">
      <w:pPr>
        <w:pStyle w:val="Heading2"/>
      </w:pPr>
      <w:r w:rsidRPr="00BD1CC1">
        <w:t>Other</w:t>
      </w:r>
    </w:p>
    <w:p w14:paraId="7A2343C5" w14:textId="130D5A58" w:rsidR="00D24F6F" w:rsidRPr="00BD1CC1" w:rsidRDefault="005D1964" w:rsidP="00D24F6F">
      <w:pPr>
        <w:pStyle w:val="BodyText"/>
      </w:pPr>
      <w:r w:rsidRPr="005D1964">
        <w:t>For all indications: Member cannot use the requested medication concomitantly with any other biologic drug or targeted synthetic drug.</w:t>
      </w:r>
    </w:p>
    <w:p w14:paraId="3407B33B" w14:textId="7147A99F" w:rsidR="00420545" w:rsidRPr="00BD1CC1" w:rsidRDefault="00420545" w:rsidP="00F70900">
      <w:pPr>
        <w:pStyle w:val="Heading2"/>
      </w:pPr>
      <w:r w:rsidRPr="00BD1CC1">
        <w:t>Dosage and Administration</w:t>
      </w:r>
    </w:p>
    <w:p w14:paraId="0BC9FFD3" w14:textId="03D2B1C5" w:rsidR="00FD000B" w:rsidRDefault="005D1964" w:rsidP="00C52389">
      <w:pPr>
        <w:pStyle w:val="BodyText"/>
      </w:pPr>
      <w:r w:rsidRPr="005D1964">
        <w:t>Approvals may be subject to dosing limits in accordance with FDA-approved labeling, accepted compendia, and/or evidence-based practice guidelines</w:t>
      </w:r>
      <w:r w:rsidR="00E93E05" w:rsidRPr="00BD1CC1">
        <w:t>.</w:t>
      </w:r>
      <w:bookmarkStart w:id="1" w:name="S2.2"/>
      <w:bookmarkStart w:id="2" w:name="section-2.2"/>
      <w:bookmarkStart w:id="3" w:name="section-2.2.1"/>
      <w:bookmarkStart w:id="4" w:name="section-2.2.2"/>
      <w:bookmarkEnd w:id="1"/>
      <w:bookmarkEnd w:id="2"/>
      <w:bookmarkEnd w:id="3"/>
      <w:bookmarkEnd w:id="4"/>
    </w:p>
    <w:p w14:paraId="10DA4309" w14:textId="0CDAB80D" w:rsidR="00FF66BF" w:rsidRPr="008D1B34" w:rsidRDefault="00FF66BF" w:rsidP="00FF66BF">
      <w:pPr>
        <w:pStyle w:val="Heading2"/>
      </w:pPr>
      <w:r w:rsidRPr="008D1B34">
        <w:t>References</w:t>
      </w:r>
    </w:p>
    <w:p w14:paraId="229FFFBE" w14:textId="5F80954E" w:rsidR="00993783" w:rsidRDefault="00993783" w:rsidP="00993783">
      <w:pPr>
        <w:pStyle w:val="ReferenceOrdered"/>
      </w:pPr>
      <w:r>
        <w:t xml:space="preserve">Entyvio [package insert]. </w:t>
      </w:r>
      <w:r w:rsidR="003D1AC2">
        <w:t>Cambridge</w:t>
      </w:r>
      <w:r>
        <w:t xml:space="preserve">, MA: Takeda Pharmaceuticals U.S.A., Inc.; </w:t>
      </w:r>
      <w:r w:rsidR="003D1AC2">
        <w:t>May</w:t>
      </w:r>
      <w:r>
        <w:t xml:space="preserve"> 202</w:t>
      </w:r>
      <w:r w:rsidR="003D1AC2">
        <w:t>4</w:t>
      </w:r>
      <w:r>
        <w:t>.</w:t>
      </w:r>
    </w:p>
    <w:p w14:paraId="6F22E500" w14:textId="5B41C717" w:rsidR="00993783" w:rsidRDefault="00993783" w:rsidP="00993783">
      <w:pPr>
        <w:pStyle w:val="ReferenceOrdered"/>
      </w:pPr>
      <w:r>
        <w:t xml:space="preserve">Talley NJ, Abreu MT, </w:t>
      </w:r>
      <w:proofErr w:type="spellStart"/>
      <w:r>
        <w:t>Achkar</w:t>
      </w:r>
      <w:proofErr w:type="spellEnd"/>
      <w:r>
        <w:t xml:space="preserve"> J, et al. An evidence-based systematic review on medical therapies for inflammatory bowel disease. Am J Gastroenterol. 2011;106(Suppl 1):S2-S25.</w:t>
      </w:r>
    </w:p>
    <w:p w14:paraId="28B82E0F" w14:textId="057F994C" w:rsidR="00993783" w:rsidRDefault="00993783" w:rsidP="00993783">
      <w:pPr>
        <w:pStyle w:val="ReferenceOrdered"/>
      </w:pPr>
      <w:r>
        <w:t>Lichtenstein GR, Loftus Jr EV, Isaacs KI, et al. ACG Clinical Guideline: Management of Crohn’s Disease in Adults. Am J Gastroenterol. 2018;113:481-517.</w:t>
      </w:r>
    </w:p>
    <w:p w14:paraId="3CCBAF12" w14:textId="346CE1FE" w:rsidR="00993783" w:rsidRDefault="00993783" w:rsidP="00993783">
      <w:pPr>
        <w:pStyle w:val="ReferenceOrdered"/>
      </w:pPr>
      <w:r>
        <w:t xml:space="preserve">Rubin DT, </w:t>
      </w:r>
      <w:proofErr w:type="spellStart"/>
      <w:r>
        <w:t>Ananthakrishnan</w:t>
      </w:r>
      <w:proofErr w:type="spellEnd"/>
      <w:r>
        <w:t xml:space="preserve"> AN, </w:t>
      </w:r>
      <w:r w:rsidR="000F47D1">
        <w:t xml:space="preserve">Siegel CA, </w:t>
      </w:r>
      <w:r>
        <w:t>et al. 2019 ACG Clinical Guideline: Ulcerative Colitis in Adults. Am J Gastroenterol. 2019;114:384-413.</w:t>
      </w:r>
    </w:p>
    <w:p w14:paraId="6D08132A" w14:textId="4166EA90" w:rsidR="00993783" w:rsidRDefault="00993783" w:rsidP="00993783">
      <w:pPr>
        <w:pStyle w:val="ReferenceOrdered"/>
      </w:pPr>
      <w:r>
        <w:t>The NCCN Drugs &amp; Biologics Compendium® © 202</w:t>
      </w:r>
      <w:r w:rsidR="003D1AC2">
        <w:t>5</w:t>
      </w:r>
      <w:r>
        <w:t xml:space="preserve"> National Comprehensive Cancer Network, Inc. Available at: http://www.nccn.org. Accessed January </w:t>
      </w:r>
      <w:r w:rsidR="003D1AC2">
        <w:t>22</w:t>
      </w:r>
      <w:r>
        <w:t>, 202</w:t>
      </w:r>
      <w:r w:rsidR="003D1AC2">
        <w:t>5</w:t>
      </w:r>
      <w:r>
        <w:t>.</w:t>
      </w:r>
    </w:p>
    <w:p w14:paraId="69D412FD" w14:textId="64DDF495" w:rsidR="00993783" w:rsidRDefault="00993783" w:rsidP="00993783">
      <w:pPr>
        <w:pStyle w:val="ReferenceOrdered"/>
      </w:pPr>
      <w:r>
        <w:t>NCCN Clinical Practice Guidelines in Oncology® (NCCN Guidelines®). Management of Immunotherapy-Related Toxicities. Version 1.202</w:t>
      </w:r>
      <w:r w:rsidR="003D1AC2">
        <w:t>5</w:t>
      </w:r>
      <w:r>
        <w:t xml:space="preserve">. Available at: www.nccn.org. Accessed January </w:t>
      </w:r>
      <w:r w:rsidR="003D1AC2">
        <w:t>22</w:t>
      </w:r>
      <w:r>
        <w:t>, 202</w:t>
      </w:r>
      <w:r w:rsidR="003D1AC2">
        <w:t>5</w:t>
      </w:r>
      <w:r>
        <w:t>.</w:t>
      </w:r>
    </w:p>
    <w:p w14:paraId="07E960EF" w14:textId="31FCE454" w:rsidR="00993783" w:rsidRDefault="00993783" w:rsidP="00993783">
      <w:pPr>
        <w:pStyle w:val="ReferenceOrdered"/>
      </w:pPr>
      <w:r>
        <w:t xml:space="preserve">Schneider BJ, Naidoo J, </w:t>
      </w:r>
      <w:proofErr w:type="spellStart"/>
      <w:r>
        <w:t>Santomasso</w:t>
      </w:r>
      <w:proofErr w:type="spellEnd"/>
      <w:r>
        <w:t xml:space="preserve"> BD, et al. Management of Immune-Related Adverse Events in Patients Treated With Immune Checkpoint Inhibitor Therapy: American Society of Clinical Oncology Guideline Update. J Clin Oncol. 2021;39(36):4073-4126.</w:t>
      </w:r>
    </w:p>
    <w:p w14:paraId="1F386F51" w14:textId="45C4D7CE" w:rsidR="00993783" w:rsidRDefault="00993783" w:rsidP="00993783">
      <w:pPr>
        <w:pStyle w:val="ReferenceOrdered"/>
      </w:pPr>
      <w:r w:rsidRPr="001158D8">
        <w:rPr>
          <w:lang w:val="de-DE"/>
        </w:rPr>
        <w:t xml:space="preserve">Feuerstein JD, Isaacs KL, Schneider Y, et al. </w:t>
      </w:r>
      <w:r>
        <w:t>AGA Clinical Practice Guidelines on the Management of Moderate to Severe Ulcerative Colitis. Gastroenterology. 2020</w:t>
      </w:r>
      <w:r w:rsidR="003D1AC2">
        <w:t>;</w:t>
      </w:r>
      <w:r>
        <w:t>158:1450-1461.</w:t>
      </w:r>
    </w:p>
    <w:p w14:paraId="53133CA2" w14:textId="7B249F91" w:rsidR="00993783" w:rsidRDefault="00993783" w:rsidP="00993783">
      <w:pPr>
        <w:pStyle w:val="ReferenceOrdered"/>
      </w:pPr>
      <w:r w:rsidRPr="001158D8">
        <w:rPr>
          <w:lang w:val="de-DE"/>
        </w:rPr>
        <w:t xml:space="preserve">Feuerstein JD, Ho EY, Shmidt E, et al. </w:t>
      </w:r>
      <w:r>
        <w:t>AGA Clinical Practice Guidelines on the Medical Management of Moderate to Severe Luminal and Perianal Fistulizing Crohn’s Disease. Gastroenterology. 2021;160: 2496-2508.</w:t>
      </w:r>
    </w:p>
    <w:p w14:paraId="2409F443" w14:textId="6C0D563E" w:rsidR="00993783" w:rsidRDefault="00993783" w:rsidP="00993783">
      <w:pPr>
        <w:pStyle w:val="ReferenceOrdered"/>
      </w:pPr>
      <w:proofErr w:type="spellStart"/>
      <w:r w:rsidRPr="001158D8">
        <w:rPr>
          <w:lang w:val="fr-FR"/>
        </w:rPr>
        <w:t>Menter</w:t>
      </w:r>
      <w:proofErr w:type="spellEnd"/>
      <w:r w:rsidRPr="001158D8">
        <w:rPr>
          <w:lang w:val="fr-FR"/>
        </w:rPr>
        <w:t xml:space="preserve"> A, </w:t>
      </w:r>
      <w:proofErr w:type="spellStart"/>
      <w:r w:rsidRPr="001158D8">
        <w:rPr>
          <w:lang w:val="fr-FR"/>
        </w:rPr>
        <w:t>Gelfand</w:t>
      </w:r>
      <w:proofErr w:type="spellEnd"/>
      <w:r w:rsidRPr="001158D8">
        <w:rPr>
          <w:lang w:val="fr-FR"/>
        </w:rPr>
        <w:t xml:space="preserve"> JM, Connor C, et al. </w:t>
      </w:r>
      <w:r>
        <w:t xml:space="preserve">Joint American Academy of Dermatology-National Psoriasis Foundation guidelines of care for the management of psoriasis with systemic nonbiologic therapies. J Am </w:t>
      </w:r>
      <w:proofErr w:type="spellStart"/>
      <w:r>
        <w:t>Acad</w:t>
      </w:r>
      <w:proofErr w:type="spellEnd"/>
      <w:r>
        <w:t xml:space="preserve"> Dermatol. 2020;82(6):1445-1486.</w:t>
      </w:r>
    </w:p>
    <w:p w14:paraId="6FA65DF3" w14:textId="46EBE1D7" w:rsidR="00D250E3" w:rsidRDefault="00D250E3" w:rsidP="00993783">
      <w:pPr>
        <w:pStyle w:val="ReferenceOrdered"/>
      </w:pPr>
      <w:r>
        <w:t>NCCN Clinical Practice Guidelines in Oncology® (NCCN Guidelines®). Hematopoietic Cell Transplantation (HCT). Version 2.</w:t>
      </w:r>
      <w:r w:rsidR="000F47D1">
        <w:t>20</w:t>
      </w:r>
      <w:r>
        <w:t xml:space="preserve">24. Available at: </w:t>
      </w:r>
      <w:r w:rsidRPr="009344D7">
        <w:t>www.nccn.org</w:t>
      </w:r>
      <w:r>
        <w:t>. Accessed January 22, 2025.</w:t>
      </w:r>
    </w:p>
    <w:sectPr w:rsidR="00D250E3" w:rsidSect="00A2094E">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32F57" w14:textId="77777777" w:rsidR="00005C6D" w:rsidRDefault="00005C6D">
      <w:r>
        <w:separator/>
      </w:r>
    </w:p>
  </w:endnote>
  <w:endnote w:type="continuationSeparator" w:id="0">
    <w:p w14:paraId="4350F32F" w14:textId="77777777" w:rsidR="00005C6D" w:rsidRDefault="00005C6D">
      <w:r>
        <w:continuationSeparator/>
      </w:r>
    </w:p>
  </w:endnote>
  <w:endnote w:type="continuationNotice" w:id="1">
    <w:p w14:paraId="4E79F5B9" w14:textId="77777777" w:rsidR="00005C6D" w:rsidRDefault="00005C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1E308" w14:textId="6513B3CB" w:rsidR="00CE2EB3" w:rsidRPr="00EC47B6" w:rsidRDefault="00CE2EB3" w:rsidP="00CE2EB3">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63425" w:rsidRPr="00C63425">
      <w:rPr>
        <w:rFonts w:cs="Arial"/>
        <w:noProof/>
        <w:sz w:val="16"/>
        <w:szCs w:val="16"/>
      </w:rPr>
      <w:t>Entyvio</w:t>
    </w:r>
    <w:r w:rsidR="00C63425">
      <w:rPr>
        <w:rFonts w:cs="Arial"/>
        <w:noProof/>
        <w:snapToGrid w:val="0"/>
        <w:color w:val="000000"/>
        <w:sz w:val="16"/>
        <w:szCs w:val="16"/>
      </w:rPr>
      <w:t xml:space="preserve"> SGM 2004-A</w:t>
    </w:r>
    <w:r w:rsidR="00C63425" w:rsidRPr="00C6342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A2094E">
      <w:rPr>
        <w:rFonts w:cs="Arial"/>
        <w:snapToGrid w:val="0"/>
        <w:color w:val="000000"/>
        <w:sz w:val="16"/>
      </w:rPr>
      <w:t>5</w:t>
    </w:r>
    <w:r w:rsidRPr="00EC47B6">
      <w:rPr>
        <w:rFonts w:cs="Arial"/>
        <w:snapToGrid w:val="0"/>
        <w:color w:val="000000"/>
        <w:sz w:val="16"/>
      </w:rPr>
      <w:t xml:space="preserve"> CVS Caremark. All rights reserved.</w:t>
    </w:r>
  </w:p>
  <w:p w14:paraId="43AF8E89" w14:textId="0529DEDF" w:rsidR="00CE2EB3" w:rsidRPr="00EC47B6" w:rsidRDefault="00CE2EB3" w:rsidP="00CE2EB3">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D039119" w14:textId="0B4DF702" w:rsidR="00CE2EB3" w:rsidRPr="00AA1E6A" w:rsidRDefault="00CE2EB3" w:rsidP="00286EB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D7DC1" w14:textId="3AEA6193" w:rsidR="00CE2EB3" w:rsidRPr="00EC47B6" w:rsidRDefault="00CE2EB3" w:rsidP="00CE2EB3">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63425" w:rsidRPr="00C63425">
      <w:rPr>
        <w:rFonts w:cs="Arial"/>
        <w:noProof/>
        <w:sz w:val="16"/>
        <w:szCs w:val="16"/>
      </w:rPr>
      <w:t>Entyvio</w:t>
    </w:r>
    <w:r w:rsidR="00C63425">
      <w:rPr>
        <w:rFonts w:cs="Arial"/>
        <w:noProof/>
        <w:snapToGrid w:val="0"/>
        <w:color w:val="000000"/>
        <w:sz w:val="16"/>
        <w:szCs w:val="16"/>
      </w:rPr>
      <w:t xml:space="preserve"> SGM 2004-A</w:t>
    </w:r>
    <w:r w:rsidR="00C63425" w:rsidRPr="00C6342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F62EC6">
      <w:rPr>
        <w:rFonts w:cs="Arial"/>
        <w:snapToGrid w:val="0"/>
        <w:color w:val="000000"/>
        <w:sz w:val="16"/>
      </w:rPr>
      <w:t>5</w:t>
    </w:r>
    <w:r w:rsidRPr="00EC47B6">
      <w:rPr>
        <w:rFonts w:cs="Arial"/>
        <w:snapToGrid w:val="0"/>
        <w:color w:val="000000"/>
        <w:sz w:val="16"/>
      </w:rPr>
      <w:t xml:space="preserve"> CVS Caremark. All rights reserved.</w:t>
    </w:r>
  </w:p>
  <w:p w14:paraId="759E2F19" w14:textId="1661EF22" w:rsidR="00CE2EB3" w:rsidRPr="00EC47B6" w:rsidRDefault="00CE2EB3" w:rsidP="00CE2EB3">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04A623C" w14:textId="0046E999" w:rsidR="00CE2EB3" w:rsidRPr="00AA1E6A" w:rsidRDefault="00CE2EB3" w:rsidP="00286EB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E9770" w14:textId="77777777" w:rsidR="00005C6D" w:rsidRDefault="00005C6D">
      <w:r>
        <w:separator/>
      </w:r>
    </w:p>
  </w:footnote>
  <w:footnote w:type="continuationSeparator" w:id="0">
    <w:p w14:paraId="16E31FAD" w14:textId="77777777" w:rsidR="00005C6D" w:rsidRDefault="00005C6D">
      <w:r>
        <w:continuationSeparator/>
      </w:r>
    </w:p>
  </w:footnote>
  <w:footnote w:type="continuationNotice" w:id="1">
    <w:p w14:paraId="7C96079F" w14:textId="77777777" w:rsidR="00005C6D" w:rsidRDefault="00005C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CE2EB3" w:rsidRDefault="00ED04EC" w:rsidP="00ED04EC">
          <w:pPr>
            <w:pStyle w:val="Header"/>
            <w:rPr>
              <w:rFonts w:cs="Arial"/>
              <w:sz w:val="16"/>
              <w:szCs w:val="16"/>
            </w:rPr>
          </w:pPr>
          <w:r w:rsidRPr="00CE2EB3">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7FF2699" w:rsidR="00ED04EC" w:rsidRPr="00CE2EB3" w:rsidRDefault="00CE2EB3" w:rsidP="00ED04EC">
          <w:pPr>
            <w:pStyle w:val="Header"/>
            <w:rPr>
              <w:rFonts w:cs="Arial"/>
              <w:sz w:val="16"/>
              <w:szCs w:val="16"/>
            </w:rPr>
          </w:pPr>
          <w:r w:rsidRPr="00CE2EB3">
            <w:rPr>
              <w:rFonts w:cs="Arial"/>
              <w:sz w:val="16"/>
              <w:szCs w:val="16"/>
            </w:rPr>
            <w:t>2004-A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66BE6"/>
    <w:multiLevelType w:val="hybridMultilevel"/>
    <w:tmpl w:val="4A027E66"/>
    <w:lvl w:ilvl="0" w:tplc="6B681020">
      <w:start w:val="1"/>
      <w:numFmt w:val="bullet"/>
      <w:lvlText w:val=""/>
      <w:lvlJc w:val="left"/>
      <w:pPr>
        <w:ind w:left="1560" w:hanging="360"/>
      </w:pPr>
      <w:rPr>
        <w:rFonts w:ascii="Symbol" w:hAnsi="Symbol"/>
      </w:rPr>
    </w:lvl>
    <w:lvl w:ilvl="1" w:tplc="E3EC8038">
      <w:start w:val="1"/>
      <w:numFmt w:val="bullet"/>
      <w:lvlText w:val=""/>
      <w:lvlJc w:val="left"/>
      <w:pPr>
        <w:ind w:left="1560" w:hanging="360"/>
      </w:pPr>
      <w:rPr>
        <w:rFonts w:ascii="Symbol" w:hAnsi="Symbol"/>
      </w:rPr>
    </w:lvl>
    <w:lvl w:ilvl="2" w:tplc="7AA8E4A0">
      <w:start w:val="1"/>
      <w:numFmt w:val="bullet"/>
      <w:lvlText w:val=""/>
      <w:lvlJc w:val="left"/>
      <w:pPr>
        <w:ind w:left="1560" w:hanging="360"/>
      </w:pPr>
      <w:rPr>
        <w:rFonts w:ascii="Symbol" w:hAnsi="Symbol"/>
      </w:rPr>
    </w:lvl>
    <w:lvl w:ilvl="3" w:tplc="83BC364E">
      <w:start w:val="1"/>
      <w:numFmt w:val="bullet"/>
      <w:lvlText w:val=""/>
      <w:lvlJc w:val="left"/>
      <w:pPr>
        <w:ind w:left="1560" w:hanging="360"/>
      </w:pPr>
      <w:rPr>
        <w:rFonts w:ascii="Symbol" w:hAnsi="Symbol"/>
      </w:rPr>
    </w:lvl>
    <w:lvl w:ilvl="4" w:tplc="BFC46524">
      <w:start w:val="1"/>
      <w:numFmt w:val="bullet"/>
      <w:lvlText w:val=""/>
      <w:lvlJc w:val="left"/>
      <w:pPr>
        <w:ind w:left="1560" w:hanging="360"/>
      </w:pPr>
      <w:rPr>
        <w:rFonts w:ascii="Symbol" w:hAnsi="Symbol"/>
      </w:rPr>
    </w:lvl>
    <w:lvl w:ilvl="5" w:tplc="78C2086A">
      <w:start w:val="1"/>
      <w:numFmt w:val="bullet"/>
      <w:lvlText w:val=""/>
      <w:lvlJc w:val="left"/>
      <w:pPr>
        <w:ind w:left="1560" w:hanging="360"/>
      </w:pPr>
      <w:rPr>
        <w:rFonts w:ascii="Symbol" w:hAnsi="Symbol"/>
      </w:rPr>
    </w:lvl>
    <w:lvl w:ilvl="6" w:tplc="2BC2FDFA">
      <w:start w:val="1"/>
      <w:numFmt w:val="bullet"/>
      <w:lvlText w:val=""/>
      <w:lvlJc w:val="left"/>
      <w:pPr>
        <w:ind w:left="1560" w:hanging="360"/>
      </w:pPr>
      <w:rPr>
        <w:rFonts w:ascii="Symbol" w:hAnsi="Symbol"/>
      </w:rPr>
    </w:lvl>
    <w:lvl w:ilvl="7" w:tplc="0DBC5418">
      <w:start w:val="1"/>
      <w:numFmt w:val="bullet"/>
      <w:lvlText w:val=""/>
      <w:lvlJc w:val="left"/>
      <w:pPr>
        <w:ind w:left="1560" w:hanging="360"/>
      </w:pPr>
      <w:rPr>
        <w:rFonts w:ascii="Symbol" w:hAnsi="Symbol"/>
      </w:rPr>
    </w:lvl>
    <w:lvl w:ilvl="8" w:tplc="6D8AA0CE">
      <w:start w:val="1"/>
      <w:numFmt w:val="bullet"/>
      <w:lvlText w:val=""/>
      <w:lvlJc w:val="left"/>
      <w:pPr>
        <w:ind w:left="1560" w:hanging="360"/>
      </w:pPr>
      <w:rPr>
        <w:rFonts w:ascii="Symbol" w:hAnsi="Symbol"/>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013AEC"/>
    <w:multiLevelType w:val="hybridMultilevel"/>
    <w:tmpl w:val="39443CF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7B81677"/>
    <w:multiLevelType w:val="hybridMultilevel"/>
    <w:tmpl w:val="20A6E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A85F37"/>
    <w:multiLevelType w:val="hybridMultilevel"/>
    <w:tmpl w:val="A3685446"/>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48F309D"/>
    <w:multiLevelType w:val="hybridMultilevel"/>
    <w:tmpl w:val="847280B0"/>
    <w:lvl w:ilvl="0" w:tplc="85C44404">
      <w:start w:val="1"/>
      <w:numFmt w:val="bullet"/>
      <w:lvlText w:val=""/>
      <w:lvlJc w:val="left"/>
      <w:pPr>
        <w:ind w:left="1560" w:hanging="360"/>
      </w:pPr>
      <w:rPr>
        <w:rFonts w:ascii="Symbol" w:hAnsi="Symbol"/>
      </w:rPr>
    </w:lvl>
    <w:lvl w:ilvl="1" w:tplc="AD6A6354">
      <w:start w:val="1"/>
      <w:numFmt w:val="bullet"/>
      <w:lvlText w:val=""/>
      <w:lvlJc w:val="left"/>
      <w:pPr>
        <w:ind w:left="1560" w:hanging="360"/>
      </w:pPr>
      <w:rPr>
        <w:rFonts w:ascii="Symbol" w:hAnsi="Symbol"/>
      </w:rPr>
    </w:lvl>
    <w:lvl w:ilvl="2" w:tplc="E3F83120">
      <w:start w:val="1"/>
      <w:numFmt w:val="bullet"/>
      <w:lvlText w:val=""/>
      <w:lvlJc w:val="left"/>
      <w:pPr>
        <w:ind w:left="1560" w:hanging="360"/>
      </w:pPr>
      <w:rPr>
        <w:rFonts w:ascii="Symbol" w:hAnsi="Symbol"/>
      </w:rPr>
    </w:lvl>
    <w:lvl w:ilvl="3" w:tplc="E162E6B8">
      <w:start w:val="1"/>
      <w:numFmt w:val="bullet"/>
      <w:lvlText w:val=""/>
      <w:lvlJc w:val="left"/>
      <w:pPr>
        <w:ind w:left="1560" w:hanging="360"/>
      </w:pPr>
      <w:rPr>
        <w:rFonts w:ascii="Symbol" w:hAnsi="Symbol"/>
      </w:rPr>
    </w:lvl>
    <w:lvl w:ilvl="4" w:tplc="9C722A20">
      <w:start w:val="1"/>
      <w:numFmt w:val="bullet"/>
      <w:lvlText w:val=""/>
      <w:lvlJc w:val="left"/>
      <w:pPr>
        <w:ind w:left="1560" w:hanging="360"/>
      </w:pPr>
      <w:rPr>
        <w:rFonts w:ascii="Symbol" w:hAnsi="Symbol"/>
      </w:rPr>
    </w:lvl>
    <w:lvl w:ilvl="5" w:tplc="91FE5B4A">
      <w:start w:val="1"/>
      <w:numFmt w:val="bullet"/>
      <w:lvlText w:val=""/>
      <w:lvlJc w:val="left"/>
      <w:pPr>
        <w:ind w:left="1560" w:hanging="360"/>
      </w:pPr>
      <w:rPr>
        <w:rFonts w:ascii="Symbol" w:hAnsi="Symbol"/>
      </w:rPr>
    </w:lvl>
    <w:lvl w:ilvl="6" w:tplc="791216C8">
      <w:start w:val="1"/>
      <w:numFmt w:val="bullet"/>
      <w:lvlText w:val=""/>
      <w:lvlJc w:val="left"/>
      <w:pPr>
        <w:ind w:left="1560" w:hanging="360"/>
      </w:pPr>
      <w:rPr>
        <w:rFonts w:ascii="Symbol" w:hAnsi="Symbol"/>
      </w:rPr>
    </w:lvl>
    <w:lvl w:ilvl="7" w:tplc="4572B306">
      <w:start w:val="1"/>
      <w:numFmt w:val="bullet"/>
      <w:lvlText w:val=""/>
      <w:lvlJc w:val="left"/>
      <w:pPr>
        <w:ind w:left="1560" w:hanging="360"/>
      </w:pPr>
      <w:rPr>
        <w:rFonts w:ascii="Symbol" w:hAnsi="Symbol"/>
      </w:rPr>
    </w:lvl>
    <w:lvl w:ilvl="8" w:tplc="7B3C5138">
      <w:start w:val="1"/>
      <w:numFmt w:val="bullet"/>
      <w:lvlText w:val=""/>
      <w:lvlJc w:val="left"/>
      <w:pPr>
        <w:ind w:left="1560" w:hanging="360"/>
      </w:pPr>
      <w:rPr>
        <w:rFonts w:ascii="Symbol" w:hAnsi="Symbol"/>
      </w:rPr>
    </w:lvl>
  </w:abstractNum>
  <w:abstractNum w:abstractNumId="20" w15:restartNumberingAfterBreak="0">
    <w:nsid w:val="24E47CE3"/>
    <w:multiLevelType w:val="hybridMultilevel"/>
    <w:tmpl w:val="907C4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213E57"/>
    <w:multiLevelType w:val="hybridMultilevel"/>
    <w:tmpl w:val="80221AD6"/>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07395D"/>
    <w:multiLevelType w:val="hybridMultilevel"/>
    <w:tmpl w:val="C4C08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13358A"/>
    <w:multiLevelType w:val="hybridMultilevel"/>
    <w:tmpl w:val="E7CAB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A36CC0"/>
    <w:multiLevelType w:val="hybridMultilevel"/>
    <w:tmpl w:val="A0264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566B5D"/>
    <w:multiLevelType w:val="hybridMultilevel"/>
    <w:tmpl w:val="7F542E0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CE1722"/>
    <w:multiLevelType w:val="hybridMultilevel"/>
    <w:tmpl w:val="39443CF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F2D31DC"/>
    <w:multiLevelType w:val="hybridMultilevel"/>
    <w:tmpl w:val="128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3702BC"/>
    <w:multiLevelType w:val="hybridMultilevel"/>
    <w:tmpl w:val="39443CF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D227B6"/>
    <w:multiLevelType w:val="hybridMultilevel"/>
    <w:tmpl w:val="39443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2020D1"/>
    <w:multiLevelType w:val="hybridMultilevel"/>
    <w:tmpl w:val="650A8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8326B1"/>
    <w:multiLevelType w:val="hybridMultilevel"/>
    <w:tmpl w:val="415E2BF0"/>
    <w:lvl w:ilvl="0" w:tplc="6296AE68">
      <w:start w:val="1"/>
      <w:numFmt w:val="decimal"/>
      <w:pStyle w:val="ReferenceOrdered"/>
      <w:lvlText w:val="%1."/>
      <w:lvlJc w:val="left"/>
      <w:pPr>
        <w:ind w:left="720" w:hanging="360"/>
      </w:pPr>
    </w:lvl>
    <w:lvl w:ilvl="1" w:tplc="EB1E5CC0">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FC133C"/>
    <w:multiLevelType w:val="hybridMultilevel"/>
    <w:tmpl w:val="29DAE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961D5C"/>
    <w:multiLevelType w:val="hybridMultilevel"/>
    <w:tmpl w:val="07861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067622"/>
    <w:multiLevelType w:val="hybridMultilevel"/>
    <w:tmpl w:val="75162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7"/>
  </w:num>
  <w:num w:numId="3" w16cid:durableId="611589570">
    <w:abstractNumId w:val="3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4"/>
  </w:num>
  <w:num w:numId="17" w16cid:durableId="2128498676">
    <w:abstractNumId w:val="42"/>
  </w:num>
  <w:num w:numId="18" w16cid:durableId="299724409">
    <w:abstractNumId w:val="34"/>
  </w:num>
  <w:num w:numId="19" w16cid:durableId="214585573">
    <w:abstractNumId w:val="16"/>
  </w:num>
  <w:num w:numId="20" w16cid:durableId="1289816170">
    <w:abstractNumId w:val="17"/>
  </w:num>
  <w:num w:numId="21" w16cid:durableId="1066490929">
    <w:abstractNumId w:val="43"/>
  </w:num>
  <w:num w:numId="22" w16cid:durableId="1472481103">
    <w:abstractNumId w:val="36"/>
  </w:num>
  <w:num w:numId="23" w16cid:durableId="1997420403">
    <w:abstractNumId w:val="38"/>
  </w:num>
  <w:num w:numId="24" w16cid:durableId="33312838">
    <w:abstractNumId w:val="35"/>
  </w:num>
  <w:num w:numId="25" w16cid:durableId="507404939">
    <w:abstractNumId w:val="22"/>
  </w:num>
  <w:num w:numId="26" w16cid:durableId="1986397809">
    <w:abstractNumId w:val="32"/>
  </w:num>
  <w:num w:numId="27" w16cid:durableId="170073951">
    <w:abstractNumId w:val="25"/>
  </w:num>
  <w:num w:numId="28" w16cid:durableId="267155343">
    <w:abstractNumId w:val="40"/>
  </w:num>
  <w:num w:numId="29" w16cid:durableId="2005205035">
    <w:abstractNumId w:val="15"/>
  </w:num>
  <w:num w:numId="30" w16cid:durableId="914168482">
    <w:abstractNumId w:val="41"/>
  </w:num>
  <w:num w:numId="31" w16cid:durableId="1660617636">
    <w:abstractNumId w:val="33"/>
  </w:num>
  <w:num w:numId="32" w16cid:durableId="1009327984">
    <w:abstractNumId w:val="12"/>
  </w:num>
  <w:num w:numId="33" w16cid:durableId="2138528415">
    <w:abstractNumId w:val="18"/>
  </w:num>
  <w:num w:numId="34" w16cid:durableId="602108416">
    <w:abstractNumId w:val="30"/>
  </w:num>
  <w:num w:numId="35" w16cid:durableId="329987243">
    <w:abstractNumId w:val="27"/>
  </w:num>
  <w:num w:numId="36" w16cid:durableId="998188755">
    <w:abstractNumId w:val="28"/>
  </w:num>
  <w:num w:numId="37" w16cid:durableId="575171358">
    <w:abstractNumId w:val="21"/>
  </w:num>
  <w:num w:numId="38" w16cid:durableId="1240363730">
    <w:abstractNumId w:val="20"/>
  </w:num>
  <w:num w:numId="39" w16cid:durableId="1297881562">
    <w:abstractNumId w:val="39"/>
  </w:num>
  <w:num w:numId="40" w16cid:durableId="1431005596">
    <w:abstractNumId w:val="10"/>
  </w:num>
  <w:num w:numId="41" w16cid:durableId="867377696">
    <w:abstractNumId w:val="19"/>
  </w:num>
  <w:num w:numId="42" w16cid:durableId="1452086440">
    <w:abstractNumId w:val="23"/>
  </w:num>
  <w:num w:numId="43" w16cid:durableId="2111851129">
    <w:abstractNumId w:val="26"/>
  </w:num>
  <w:num w:numId="44" w16cid:durableId="160380495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5C6D"/>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7BC"/>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4537"/>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47D1"/>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9F3"/>
    <w:rsid w:val="001120B7"/>
    <w:rsid w:val="0011411C"/>
    <w:rsid w:val="00115519"/>
    <w:rsid w:val="001155D7"/>
    <w:rsid w:val="001156BC"/>
    <w:rsid w:val="001158D8"/>
    <w:rsid w:val="001159B3"/>
    <w:rsid w:val="00115AF6"/>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18FB"/>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2F6E"/>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266"/>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525"/>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6EB8"/>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6F8A"/>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0A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E5A"/>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4B8E"/>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C6"/>
    <w:rsid w:val="003C4CD4"/>
    <w:rsid w:val="003C66DD"/>
    <w:rsid w:val="003C6EB7"/>
    <w:rsid w:val="003C6ED6"/>
    <w:rsid w:val="003C7530"/>
    <w:rsid w:val="003D0BBA"/>
    <w:rsid w:val="003D16A3"/>
    <w:rsid w:val="003D1AC2"/>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4C0B"/>
    <w:rsid w:val="004357BB"/>
    <w:rsid w:val="00435A60"/>
    <w:rsid w:val="0043731C"/>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2FA5"/>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9E4"/>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443"/>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5A0"/>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A7E33"/>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964"/>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E7F9B"/>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7B0"/>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9C1"/>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1D3"/>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2F42"/>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9FB"/>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1D68"/>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2F5"/>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4B"/>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4D7"/>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FD9"/>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783"/>
    <w:rsid w:val="00993CD7"/>
    <w:rsid w:val="00994865"/>
    <w:rsid w:val="00995A6D"/>
    <w:rsid w:val="00995DAD"/>
    <w:rsid w:val="00995F4D"/>
    <w:rsid w:val="00996726"/>
    <w:rsid w:val="00996EF4"/>
    <w:rsid w:val="009973BE"/>
    <w:rsid w:val="00997849"/>
    <w:rsid w:val="009A0FE4"/>
    <w:rsid w:val="009A1480"/>
    <w:rsid w:val="009A2558"/>
    <w:rsid w:val="009A35FA"/>
    <w:rsid w:val="009A3D32"/>
    <w:rsid w:val="009A3DE5"/>
    <w:rsid w:val="009A53DE"/>
    <w:rsid w:val="009A5649"/>
    <w:rsid w:val="009A6D30"/>
    <w:rsid w:val="009A6E95"/>
    <w:rsid w:val="009A78A9"/>
    <w:rsid w:val="009B0854"/>
    <w:rsid w:val="009B0ADA"/>
    <w:rsid w:val="009B0F2B"/>
    <w:rsid w:val="009B1482"/>
    <w:rsid w:val="009B1B86"/>
    <w:rsid w:val="009B35DC"/>
    <w:rsid w:val="009B3740"/>
    <w:rsid w:val="009B579E"/>
    <w:rsid w:val="009B5866"/>
    <w:rsid w:val="009B5A24"/>
    <w:rsid w:val="009B601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1782"/>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94E"/>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ABB"/>
    <w:rsid w:val="00B26C72"/>
    <w:rsid w:val="00B2719B"/>
    <w:rsid w:val="00B30C78"/>
    <w:rsid w:val="00B323A4"/>
    <w:rsid w:val="00B33563"/>
    <w:rsid w:val="00B3404B"/>
    <w:rsid w:val="00B34094"/>
    <w:rsid w:val="00B343F3"/>
    <w:rsid w:val="00B34FE4"/>
    <w:rsid w:val="00B36321"/>
    <w:rsid w:val="00B3708E"/>
    <w:rsid w:val="00B4086C"/>
    <w:rsid w:val="00B40FC0"/>
    <w:rsid w:val="00B42A6D"/>
    <w:rsid w:val="00B42F63"/>
    <w:rsid w:val="00B43D43"/>
    <w:rsid w:val="00B4614B"/>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4CF5"/>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085"/>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9A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42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223"/>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5"/>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80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2EB3"/>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0E3"/>
    <w:rsid w:val="00D25BE2"/>
    <w:rsid w:val="00D26363"/>
    <w:rsid w:val="00D30248"/>
    <w:rsid w:val="00D30A4B"/>
    <w:rsid w:val="00D314DB"/>
    <w:rsid w:val="00D31A54"/>
    <w:rsid w:val="00D32E0D"/>
    <w:rsid w:val="00D33412"/>
    <w:rsid w:val="00D334F6"/>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0F5"/>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60F"/>
    <w:rsid w:val="00DB5750"/>
    <w:rsid w:val="00DB5F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98F"/>
    <w:rsid w:val="00DE1C7E"/>
    <w:rsid w:val="00DE1E23"/>
    <w:rsid w:val="00DE219D"/>
    <w:rsid w:val="00DE23E7"/>
    <w:rsid w:val="00DE2E13"/>
    <w:rsid w:val="00DE3856"/>
    <w:rsid w:val="00DE415E"/>
    <w:rsid w:val="00DE5343"/>
    <w:rsid w:val="00DE5BEF"/>
    <w:rsid w:val="00DE66CD"/>
    <w:rsid w:val="00DE6958"/>
    <w:rsid w:val="00DE755D"/>
    <w:rsid w:val="00DE7CE2"/>
    <w:rsid w:val="00DF07D4"/>
    <w:rsid w:val="00DF14FB"/>
    <w:rsid w:val="00DF5638"/>
    <w:rsid w:val="00DF5C9E"/>
    <w:rsid w:val="00DF63C8"/>
    <w:rsid w:val="00DF64CA"/>
    <w:rsid w:val="00DF6C92"/>
    <w:rsid w:val="00DF7FFE"/>
    <w:rsid w:val="00E00661"/>
    <w:rsid w:val="00E01E80"/>
    <w:rsid w:val="00E02122"/>
    <w:rsid w:val="00E02D70"/>
    <w:rsid w:val="00E0384C"/>
    <w:rsid w:val="00E04264"/>
    <w:rsid w:val="00E046C3"/>
    <w:rsid w:val="00E0509F"/>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039"/>
    <w:rsid w:val="00E20E34"/>
    <w:rsid w:val="00E212B1"/>
    <w:rsid w:val="00E21380"/>
    <w:rsid w:val="00E21E0B"/>
    <w:rsid w:val="00E23842"/>
    <w:rsid w:val="00E24B03"/>
    <w:rsid w:val="00E25668"/>
    <w:rsid w:val="00E2588C"/>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17A"/>
    <w:rsid w:val="00ED334E"/>
    <w:rsid w:val="00ED3A2A"/>
    <w:rsid w:val="00ED6038"/>
    <w:rsid w:val="00ED653F"/>
    <w:rsid w:val="00ED6550"/>
    <w:rsid w:val="00ED748E"/>
    <w:rsid w:val="00ED7D4A"/>
    <w:rsid w:val="00EE02E3"/>
    <w:rsid w:val="00EE07BA"/>
    <w:rsid w:val="00EE0D34"/>
    <w:rsid w:val="00EE1515"/>
    <w:rsid w:val="00EE27CF"/>
    <w:rsid w:val="00EE2BF1"/>
    <w:rsid w:val="00EE2D14"/>
    <w:rsid w:val="00EE34FA"/>
    <w:rsid w:val="00EE50CE"/>
    <w:rsid w:val="00EE5CD7"/>
    <w:rsid w:val="00EE6B14"/>
    <w:rsid w:val="00EE781A"/>
    <w:rsid w:val="00EF0315"/>
    <w:rsid w:val="00EF06E6"/>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0866"/>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65A"/>
    <w:rsid w:val="00F461CE"/>
    <w:rsid w:val="00F46256"/>
    <w:rsid w:val="00F46AB1"/>
    <w:rsid w:val="00F472D1"/>
    <w:rsid w:val="00F50C28"/>
    <w:rsid w:val="00F50D98"/>
    <w:rsid w:val="00F51A68"/>
    <w:rsid w:val="00F51ACB"/>
    <w:rsid w:val="00F5259A"/>
    <w:rsid w:val="00F528CB"/>
    <w:rsid w:val="00F52C49"/>
    <w:rsid w:val="00F53555"/>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2EC6"/>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892"/>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2B2"/>
    <w:rsid w:val="00F933A0"/>
    <w:rsid w:val="00F9341B"/>
    <w:rsid w:val="00F93676"/>
    <w:rsid w:val="00F93AC8"/>
    <w:rsid w:val="00F9431A"/>
    <w:rsid w:val="00F94C14"/>
    <w:rsid w:val="00F95419"/>
    <w:rsid w:val="00F95440"/>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0C1DC5B4-54A3-4FD5-BED9-B7E8DB943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73696852">
      <w:bodyDiv w:val="1"/>
      <w:marLeft w:val="0"/>
      <w:marRight w:val="0"/>
      <w:marTop w:val="0"/>
      <w:marBottom w:val="0"/>
      <w:divBdr>
        <w:top w:val="none" w:sz="0" w:space="0" w:color="auto"/>
        <w:left w:val="none" w:sz="0" w:space="0" w:color="auto"/>
        <w:bottom w:val="none" w:sz="0" w:space="0" w:color="auto"/>
        <w:right w:val="none" w:sz="0" w:space="0" w:color="auto"/>
      </w:divBdr>
      <w:divsChild>
        <w:div w:id="653797653">
          <w:marLeft w:val="0"/>
          <w:marRight w:val="0"/>
          <w:marTop w:val="0"/>
          <w:marBottom w:val="0"/>
          <w:divBdr>
            <w:top w:val="none" w:sz="0" w:space="0" w:color="auto"/>
            <w:left w:val="none" w:sz="0" w:space="0" w:color="auto"/>
            <w:bottom w:val="none" w:sz="0" w:space="0" w:color="auto"/>
            <w:right w:val="none" w:sz="0" w:space="0" w:color="auto"/>
          </w:divBdr>
        </w:div>
        <w:div w:id="666861304">
          <w:marLeft w:val="0"/>
          <w:marRight w:val="0"/>
          <w:marTop w:val="0"/>
          <w:marBottom w:val="0"/>
          <w:divBdr>
            <w:top w:val="none" w:sz="0" w:space="0" w:color="auto"/>
            <w:left w:val="none" w:sz="0" w:space="0" w:color="auto"/>
            <w:bottom w:val="none" w:sz="0" w:space="0" w:color="auto"/>
            <w:right w:val="none" w:sz="0" w:space="0" w:color="auto"/>
          </w:divBdr>
        </w:div>
        <w:div w:id="1012953565">
          <w:marLeft w:val="0"/>
          <w:marRight w:val="0"/>
          <w:marTop w:val="0"/>
          <w:marBottom w:val="0"/>
          <w:divBdr>
            <w:top w:val="none" w:sz="0" w:space="0" w:color="auto"/>
            <w:left w:val="none" w:sz="0" w:space="0" w:color="auto"/>
            <w:bottom w:val="none" w:sz="0" w:space="0" w:color="auto"/>
            <w:right w:val="none" w:sz="0" w:space="0" w:color="auto"/>
          </w:divBdr>
        </w:div>
        <w:div w:id="1183200908">
          <w:marLeft w:val="0"/>
          <w:marRight w:val="0"/>
          <w:marTop w:val="0"/>
          <w:marBottom w:val="0"/>
          <w:divBdr>
            <w:top w:val="none" w:sz="0" w:space="0" w:color="auto"/>
            <w:left w:val="none" w:sz="0" w:space="0" w:color="auto"/>
            <w:bottom w:val="none" w:sz="0" w:space="0" w:color="auto"/>
            <w:right w:val="none" w:sz="0" w:space="0" w:color="auto"/>
          </w:divBdr>
        </w:div>
        <w:div w:id="1188567237">
          <w:marLeft w:val="0"/>
          <w:marRight w:val="0"/>
          <w:marTop w:val="0"/>
          <w:marBottom w:val="0"/>
          <w:divBdr>
            <w:top w:val="none" w:sz="0" w:space="0" w:color="auto"/>
            <w:left w:val="none" w:sz="0" w:space="0" w:color="auto"/>
            <w:bottom w:val="none" w:sz="0" w:space="0" w:color="auto"/>
            <w:right w:val="none" w:sz="0" w:space="0" w:color="auto"/>
          </w:divBdr>
        </w:div>
        <w:div w:id="1557624414">
          <w:marLeft w:val="0"/>
          <w:marRight w:val="0"/>
          <w:marTop w:val="0"/>
          <w:marBottom w:val="0"/>
          <w:divBdr>
            <w:top w:val="none" w:sz="0" w:space="0" w:color="auto"/>
            <w:left w:val="none" w:sz="0" w:space="0" w:color="auto"/>
            <w:bottom w:val="none" w:sz="0" w:space="0" w:color="auto"/>
            <w:right w:val="none" w:sz="0" w:space="0" w:color="auto"/>
          </w:divBdr>
        </w:div>
        <w:div w:id="1601330421">
          <w:marLeft w:val="0"/>
          <w:marRight w:val="0"/>
          <w:marTop w:val="0"/>
          <w:marBottom w:val="0"/>
          <w:divBdr>
            <w:top w:val="none" w:sz="0" w:space="0" w:color="auto"/>
            <w:left w:val="none" w:sz="0" w:space="0" w:color="auto"/>
            <w:bottom w:val="none" w:sz="0" w:space="0" w:color="auto"/>
            <w:right w:val="none" w:sz="0" w:space="0" w:color="auto"/>
          </w:divBdr>
        </w:div>
        <w:div w:id="1917399536">
          <w:marLeft w:val="0"/>
          <w:marRight w:val="0"/>
          <w:marTop w:val="0"/>
          <w:marBottom w:val="0"/>
          <w:divBdr>
            <w:top w:val="none" w:sz="0" w:space="0" w:color="auto"/>
            <w:left w:val="none" w:sz="0" w:space="0" w:color="auto"/>
            <w:bottom w:val="none" w:sz="0" w:space="0" w:color="auto"/>
            <w:right w:val="none" w:sz="0" w:space="0" w:color="auto"/>
          </w:divBdr>
        </w:div>
      </w:divsChild>
    </w:div>
    <w:div w:id="415130551">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7812043">
      <w:bodyDiv w:val="1"/>
      <w:marLeft w:val="0"/>
      <w:marRight w:val="0"/>
      <w:marTop w:val="0"/>
      <w:marBottom w:val="0"/>
      <w:divBdr>
        <w:top w:val="none" w:sz="0" w:space="0" w:color="auto"/>
        <w:left w:val="none" w:sz="0" w:space="0" w:color="auto"/>
        <w:bottom w:val="none" w:sz="0" w:space="0" w:color="auto"/>
        <w:right w:val="none" w:sz="0" w:space="0" w:color="auto"/>
      </w:divBdr>
      <w:divsChild>
        <w:div w:id="613755759">
          <w:marLeft w:val="0"/>
          <w:marRight w:val="0"/>
          <w:marTop w:val="0"/>
          <w:marBottom w:val="0"/>
          <w:divBdr>
            <w:top w:val="none" w:sz="0" w:space="0" w:color="auto"/>
            <w:left w:val="none" w:sz="0" w:space="0" w:color="auto"/>
            <w:bottom w:val="none" w:sz="0" w:space="0" w:color="auto"/>
            <w:right w:val="none" w:sz="0" w:space="0" w:color="auto"/>
          </w:divBdr>
          <w:divsChild>
            <w:div w:id="74329232">
              <w:marLeft w:val="0"/>
              <w:marRight w:val="0"/>
              <w:marTop w:val="0"/>
              <w:marBottom w:val="0"/>
              <w:divBdr>
                <w:top w:val="none" w:sz="0" w:space="0" w:color="auto"/>
                <w:left w:val="none" w:sz="0" w:space="0" w:color="auto"/>
                <w:bottom w:val="none" w:sz="0" w:space="0" w:color="auto"/>
                <w:right w:val="none" w:sz="0" w:space="0" w:color="auto"/>
              </w:divBdr>
            </w:div>
            <w:div w:id="719984186">
              <w:marLeft w:val="0"/>
              <w:marRight w:val="0"/>
              <w:marTop w:val="0"/>
              <w:marBottom w:val="0"/>
              <w:divBdr>
                <w:top w:val="none" w:sz="0" w:space="0" w:color="auto"/>
                <w:left w:val="none" w:sz="0" w:space="0" w:color="auto"/>
                <w:bottom w:val="none" w:sz="0" w:space="0" w:color="auto"/>
                <w:right w:val="none" w:sz="0" w:space="0" w:color="auto"/>
              </w:divBdr>
            </w:div>
            <w:div w:id="794836983">
              <w:marLeft w:val="0"/>
              <w:marRight w:val="0"/>
              <w:marTop w:val="0"/>
              <w:marBottom w:val="0"/>
              <w:divBdr>
                <w:top w:val="none" w:sz="0" w:space="0" w:color="auto"/>
                <w:left w:val="none" w:sz="0" w:space="0" w:color="auto"/>
                <w:bottom w:val="none" w:sz="0" w:space="0" w:color="auto"/>
                <w:right w:val="none" w:sz="0" w:space="0" w:color="auto"/>
              </w:divBdr>
            </w:div>
            <w:div w:id="937563338">
              <w:marLeft w:val="0"/>
              <w:marRight w:val="0"/>
              <w:marTop w:val="0"/>
              <w:marBottom w:val="0"/>
              <w:divBdr>
                <w:top w:val="none" w:sz="0" w:space="0" w:color="auto"/>
                <w:left w:val="none" w:sz="0" w:space="0" w:color="auto"/>
                <w:bottom w:val="none" w:sz="0" w:space="0" w:color="auto"/>
                <w:right w:val="none" w:sz="0" w:space="0" w:color="auto"/>
              </w:divBdr>
            </w:div>
            <w:div w:id="954481495">
              <w:marLeft w:val="0"/>
              <w:marRight w:val="0"/>
              <w:marTop w:val="0"/>
              <w:marBottom w:val="0"/>
              <w:divBdr>
                <w:top w:val="none" w:sz="0" w:space="0" w:color="auto"/>
                <w:left w:val="none" w:sz="0" w:space="0" w:color="auto"/>
                <w:bottom w:val="none" w:sz="0" w:space="0" w:color="auto"/>
                <w:right w:val="none" w:sz="0" w:space="0" w:color="auto"/>
              </w:divBdr>
            </w:div>
            <w:div w:id="1089161946">
              <w:marLeft w:val="0"/>
              <w:marRight w:val="0"/>
              <w:marTop w:val="0"/>
              <w:marBottom w:val="0"/>
              <w:divBdr>
                <w:top w:val="none" w:sz="0" w:space="0" w:color="auto"/>
                <w:left w:val="none" w:sz="0" w:space="0" w:color="auto"/>
                <w:bottom w:val="none" w:sz="0" w:space="0" w:color="auto"/>
                <w:right w:val="none" w:sz="0" w:space="0" w:color="auto"/>
              </w:divBdr>
            </w:div>
            <w:div w:id="1146126222">
              <w:marLeft w:val="0"/>
              <w:marRight w:val="0"/>
              <w:marTop w:val="0"/>
              <w:marBottom w:val="0"/>
              <w:divBdr>
                <w:top w:val="none" w:sz="0" w:space="0" w:color="auto"/>
                <w:left w:val="none" w:sz="0" w:space="0" w:color="auto"/>
                <w:bottom w:val="none" w:sz="0" w:space="0" w:color="auto"/>
                <w:right w:val="none" w:sz="0" w:space="0" w:color="auto"/>
              </w:divBdr>
            </w:div>
            <w:div w:id="1284389404">
              <w:marLeft w:val="0"/>
              <w:marRight w:val="0"/>
              <w:marTop w:val="0"/>
              <w:marBottom w:val="0"/>
              <w:divBdr>
                <w:top w:val="none" w:sz="0" w:space="0" w:color="auto"/>
                <w:left w:val="none" w:sz="0" w:space="0" w:color="auto"/>
                <w:bottom w:val="none" w:sz="0" w:space="0" w:color="auto"/>
                <w:right w:val="none" w:sz="0" w:space="0" w:color="auto"/>
              </w:divBdr>
            </w:div>
          </w:divsChild>
        </w:div>
        <w:div w:id="2011516998">
          <w:marLeft w:val="0"/>
          <w:marRight w:val="0"/>
          <w:marTop w:val="0"/>
          <w:marBottom w:val="0"/>
          <w:divBdr>
            <w:top w:val="none" w:sz="0" w:space="0" w:color="auto"/>
            <w:left w:val="none" w:sz="0" w:space="0" w:color="auto"/>
            <w:bottom w:val="none" w:sz="0" w:space="0" w:color="auto"/>
            <w:right w:val="none" w:sz="0" w:space="0" w:color="auto"/>
          </w:divBdr>
          <w:divsChild>
            <w:div w:id="1133139">
              <w:marLeft w:val="0"/>
              <w:marRight w:val="0"/>
              <w:marTop w:val="0"/>
              <w:marBottom w:val="0"/>
              <w:divBdr>
                <w:top w:val="none" w:sz="0" w:space="0" w:color="auto"/>
                <w:left w:val="none" w:sz="0" w:space="0" w:color="auto"/>
                <w:bottom w:val="none" w:sz="0" w:space="0" w:color="auto"/>
                <w:right w:val="none" w:sz="0" w:space="0" w:color="auto"/>
              </w:divBdr>
            </w:div>
            <w:div w:id="102700422">
              <w:marLeft w:val="0"/>
              <w:marRight w:val="0"/>
              <w:marTop w:val="0"/>
              <w:marBottom w:val="0"/>
              <w:divBdr>
                <w:top w:val="none" w:sz="0" w:space="0" w:color="auto"/>
                <w:left w:val="none" w:sz="0" w:space="0" w:color="auto"/>
                <w:bottom w:val="none" w:sz="0" w:space="0" w:color="auto"/>
                <w:right w:val="none" w:sz="0" w:space="0" w:color="auto"/>
              </w:divBdr>
            </w:div>
            <w:div w:id="168101115">
              <w:marLeft w:val="0"/>
              <w:marRight w:val="0"/>
              <w:marTop w:val="0"/>
              <w:marBottom w:val="0"/>
              <w:divBdr>
                <w:top w:val="none" w:sz="0" w:space="0" w:color="auto"/>
                <w:left w:val="none" w:sz="0" w:space="0" w:color="auto"/>
                <w:bottom w:val="none" w:sz="0" w:space="0" w:color="auto"/>
                <w:right w:val="none" w:sz="0" w:space="0" w:color="auto"/>
              </w:divBdr>
            </w:div>
            <w:div w:id="197402649">
              <w:marLeft w:val="0"/>
              <w:marRight w:val="0"/>
              <w:marTop w:val="0"/>
              <w:marBottom w:val="0"/>
              <w:divBdr>
                <w:top w:val="none" w:sz="0" w:space="0" w:color="auto"/>
                <w:left w:val="none" w:sz="0" w:space="0" w:color="auto"/>
                <w:bottom w:val="none" w:sz="0" w:space="0" w:color="auto"/>
                <w:right w:val="none" w:sz="0" w:space="0" w:color="auto"/>
              </w:divBdr>
            </w:div>
            <w:div w:id="289669470">
              <w:marLeft w:val="0"/>
              <w:marRight w:val="0"/>
              <w:marTop w:val="0"/>
              <w:marBottom w:val="0"/>
              <w:divBdr>
                <w:top w:val="none" w:sz="0" w:space="0" w:color="auto"/>
                <w:left w:val="none" w:sz="0" w:space="0" w:color="auto"/>
                <w:bottom w:val="none" w:sz="0" w:space="0" w:color="auto"/>
                <w:right w:val="none" w:sz="0" w:space="0" w:color="auto"/>
              </w:divBdr>
            </w:div>
            <w:div w:id="402796162">
              <w:marLeft w:val="0"/>
              <w:marRight w:val="0"/>
              <w:marTop w:val="0"/>
              <w:marBottom w:val="0"/>
              <w:divBdr>
                <w:top w:val="none" w:sz="0" w:space="0" w:color="auto"/>
                <w:left w:val="none" w:sz="0" w:space="0" w:color="auto"/>
                <w:bottom w:val="none" w:sz="0" w:space="0" w:color="auto"/>
                <w:right w:val="none" w:sz="0" w:space="0" w:color="auto"/>
              </w:divBdr>
            </w:div>
            <w:div w:id="615597322">
              <w:marLeft w:val="0"/>
              <w:marRight w:val="0"/>
              <w:marTop w:val="0"/>
              <w:marBottom w:val="0"/>
              <w:divBdr>
                <w:top w:val="none" w:sz="0" w:space="0" w:color="auto"/>
                <w:left w:val="none" w:sz="0" w:space="0" w:color="auto"/>
                <w:bottom w:val="none" w:sz="0" w:space="0" w:color="auto"/>
                <w:right w:val="none" w:sz="0" w:space="0" w:color="auto"/>
              </w:divBdr>
            </w:div>
            <w:div w:id="795298706">
              <w:marLeft w:val="0"/>
              <w:marRight w:val="0"/>
              <w:marTop w:val="0"/>
              <w:marBottom w:val="0"/>
              <w:divBdr>
                <w:top w:val="none" w:sz="0" w:space="0" w:color="auto"/>
                <w:left w:val="none" w:sz="0" w:space="0" w:color="auto"/>
                <w:bottom w:val="none" w:sz="0" w:space="0" w:color="auto"/>
                <w:right w:val="none" w:sz="0" w:space="0" w:color="auto"/>
              </w:divBdr>
            </w:div>
            <w:div w:id="941228991">
              <w:marLeft w:val="0"/>
              <w:marRight w:val="0"/>
              <w:marTop w:val="0"/>
              <w:marBottom w:val="0"/>
              <w:divBdr>
                <w:top w:val="none" w:sz="0" w:space="0" w:color="auto"/>
                <w:left w:val="none" w:sz="0" w:space="0" w:color="auto"/>
                <w:bottom w:val="none" w:sz="0" w:space="0" w:color="auto"/>
                <w:right w:val="none" w:sz="0" w:space="0" w:color="auto"/>
              </w:divBdr>
            </w:div>
            <w:div w:id="977495601">
              <w:marLeft w:val="0"/>
              <w:marRight w:val="0"/>
              <w:marTop w:val="0"/>
              <w:marBottom w:val="0"/>
              <w:divBdr>
                <w:top w:val="none" w:sz="0" w:space="0" w:color="auto"/>
                <w:left w:val="none" w:sz="0" w:space="0" w:color="auto"/>
                <w:bottom w:val="none" w:sz="0" w:space="0" w:color="auto"/>
                <w:right w:val="none" w:sz="0" w:space="0" w:color="auto"/>
              </w:divBdr>
            </w:div>
            <w:div w:id="1370108427">
              <w:marLeft w:val="0"/>
              <w:marRight w:val="0"/>
              <w:marTop w:val="0"/>
              <w:marBottom w:val="0"/>
              <w:divBdr>
                <w:top w:val="none" w:sz="0" w:space="0" w:color="auto"/>
                <w:left w:val="none" w:sz="0" w:space="0" w:color="auto"/>
                <w:bottom w:val="none" w:sz="0" w:space="0" w:color="auto"/>
                <w:right w:val="none" w:sz="0" w:space="0" w:color="auto"/>
              </w:divBdr>
            </w:div>
            <w:div w:id="1409187119">
              <w:marLeft w:val="0"/>
              <w:marRight w:val="0"/>
              <w:marTop w:val="0"/>
              <w:marBottom w:val="0"/>
              <w:divBdr>
                <w:top w:val="none" w:sz="0" w:space="0" w:color="auto"/>
                <w:left w:val="none" w:sz="0" w:space="0" w:color="auto"/>
                <w:bottom w:val="none" w:sz="0" w:space="0" w:color="auto"/>
                <w:right w:val="none" w:sz="0" w:space="0" w:color="auto"/>
              </w:divBdr>
            </w:div>
            <w:div w:id="1577742434">
              <w:marLeft w:val="0"/>
              <w:marRight w:val="0"/>
              <w:marTop w:val="0"/>
              <w:marBottom w:val="0"/>
              <w:divBdr>
                <w:top w:val="none" w:sz="0" w:space="0" w:color="auto"/>
                <w:left w:val="none" w:sz="0" w:space="0" w:color="auto"/>
                <w:bottom w:val="none" w:sz="0" w:space="0" w:color="auto"/>
                <w:right w:val="none" w:sz="0" w:space="0" w:color="auto"/>
              </w:divBdr>
            </w:div>
            <w:div w:id="1599364132">
              <w:marLeft w:val="0"/>
              <w:marRight w:val="0"/>
              <w:marTop w:val="0"/>
              <w:marBottom w:val="0"/>
              <w:divBdr>
                <w:top w:val="none" w:sz="0" w:space="0" w:color="auto"/>
                <w:left w:val="none" w:sz="0" w:space="0" w:color="auto"/>
                <w:bottom w:val="none" w:sz="0" w:space="0" w:color="auto"/>
                <w:right w:val="none" w:sz="0" w:space="0" w:color="auto"/>
              </w:divBdr>
            </w:div>
            <w:div w:id="1602761868">
              <w:marLeft w:val="0"/>
              <w:marRight w:val="0"/>
              <w:marTop w:val="0"/>
              <w:marBottom w:val="0"/>
              <w:divBdr>
                <w:top w:val="none" w:sz="0" w:space="0" w:color="auto"/>
                <w:left w:val="none" w:sz="0" w:space="0" w:color="auto"/>
                <w:bottom w:val="none" w:sz="0" w:space="0" w:color="auto"/>
                <w:right w:val="none" w:sz="0" w:space="0" w:color="auto"/>
              </w:divBdr>
            </w:div>
            <w:div w:id="1693072573">
              <w:marLeft w:val="0"/>
              <w:marRight w:val="0"/>
              <w:marTop w:val="0"/>
              <w:marBottom w:val="0"/>
              <w:divBdr>
                <w:top w:val="none" w:sz="0" w:space="0" w:color="auto"/>
                <w:left w:val="none" w:sz="0" w:space="0" w:color="auto"/>
                <w:bottom w:val="none" w:sz="0" w:space="0" w:color="auto"/>
                <w:right w:val="none" w:sz="0" w:space="0" w:color="auto"/>
              </w:divBdr>
            </w:div>
            <w:div w:id="1741512513">
              <w:marLeft w:val="0"/>
              <w:marRight w:val="0"/>
              <w:marTop w:val="0"/>
              <w:marBottom w:val="0"/>
              <w:divBdr>
                <w:top w:val="none" w:sz="0" w:space="0" w:color="auto"/>
                <w:left w:val="none" w:sz="0" w:space="0" w:color="auto"/>
                <w:bottom w:val="none" w:sz="0" w:space="0" w:color="auto"/>
                <w:right w:val="none" w:sz="0" w:space="0" w:color="auto"/>
              </w:divBdr>
            </w:div>
            <w:div w:id="175901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65184558">
      <w:bodyDiv w:val="1"/>
      <w:marLeft w:val="0"/>
      <w:marRight w:val="0"/>
      <w:marTop w:val="0"/>
      <w:marBottom w:val="0"/>
      <w:divBdr>
        <w:top w:val="none" w:sz="0" w:space="0" w:color="auto"/>
        <w:left w:val="none" w:sz="0" w:space="0" w:color="auto"/>
        <w:bottom w:val="none" w:sz="0" w:space="0" w:color="auto"/>
        <w:right w:val="none" w:sz="0" w:space="0" w:color="auto"/>
      </w:divBdr>
      <w:divsChild>
        <w:div w:id="634219700">
          <w:marLeft w:val="0"/>
          <w:marRight w:val="0"/>
          <w:marTop w:val="0"/>
          <w:marBottom w:val="0"/>
          <w:divBdr>
            <w:top w:val="none" w:sz="0" w:space="0" w:color="auto"/>
            <w:left w:val="none" w:sz="0" w:space="0" w:color="auto"/>
            <w:bottom w:val="none" w:sz="0" w:space="0" w:color="auto"/>
            <w:right w:val="none" w:sz="0" w:space="0" w:color="auto"/>
          </w:divBdr>
        </w:div>
        <w:div w:id="747578614">
          <w:marLeft w:val="0"/>
          <w:marRight w:val="0"/>
          <w:marTop w:val="0"/>
          <w:marBottom w:val="0"/>
          <w:divBdr>
            <w:top w:val="none" w:sz="0" w:space="0" w:color="auto"/>
            <w:left w:val="none" w:sz="0" w:space="0" w:color="auto"/>
            <w:bottom w:val="none" w:sz="0" w:space="0" w:color="auto"/>
            <w:right w:val="none" w:sz="0" w:space="0" w:color="auto"/>
          </w:divBdr>
        </w:div>
        <w:div w:id="1514615083">
          <w:marLeft w:val="0"/>
          <w:marRight w:val="0"/>
          <w:marTop w:val="0"/>
          <w:marBottom w:val="0"/>
          <w:divBdr>
            <w:top w:val="none" w:sz="0" w:space="0" w:color="auto"/>
            <w:left w:val="none" w:sz="0" w:space="0" w:color="auto"/>
            <w:bottom w:val="none" w:sz="0" w:space="0" w:color="auto"/>
            <w:right w:val="none" w:sz="0" w:space="0" w:color="auto"/>
          </w:divBdr>
        </w:div>
        <w:div w:id="1696271599">
          <w:marLeft w:val="0"/>
          <w:marRight w:val="0"/>
          <w:marTop w:val="0"/>
          <w:marBottom w:val="0"/>
          <w:divBdr>
            <w:top w:val="none" w:sz="0" w:space="0" w:color="auto"/>
            <w:left w:val="none" w:sz="0" w:space="0" w:color="auto"/>
            <w:bottom w:val="none" w:sz="0" w:space="0" w:color="auto"/>
            <w:right w:val="none" w:sz="0" w:space="0" w:color="auto"/>
          </w:divBdr>
        </w:div>
        <w:div w:id="2038043077">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095317">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51641097">
      <w:bodyDiv w:val="1"/>
      <w:marLeft w:val="0"/>
      <w:marRight w:val="0"/>
      <w:marTop w:val="0"/>
      <w:marBottom w:val="0"/>
      <w:divBdr>
        <w:top w:val="none" w:sz="0" w:space="0" w:color="auto"/>
        <w:left w:val="none" w:sz="0" w:space="0" w:color="auto"/>
        <w:bottom w:val="none" w:sz="0" w:space="0" w:color="auto"/>
        <w:right w:val="none" w:sz="0" w:space="0" w:color="auto"/>
      </w:divBdr>
      <w:divsChild>
        <w:div w:id="18092984">
          <w:marLeft w:val="0"/>
          <w:marRight w:val="0"/>
          <w:marTop w:val="0"/>
          <w:marBottom w:val="0"/>
          <w:divBdr>
            <w:top w:val="none" w:sz="0" w:space="0" w:color="auto"/>
            <w:left w:val="none" w:sz="0" w:space="0" w:color="auto"/>
            <w:bottom w:val="none" w:sz="0" w:space="0" w:color="auto"/>
            <w:right w:val="none" w:sz="0" w:space="0" w:color="auto"/>
          </w:divBdr>
        </w:div>
        <w:div w:id="165097982">
          <w:marLeft w:val="0"/>
          <w:marRight w:val="0"/>
          <w:marTop w:val="0"/>
          <w:marBottom w:val="0"/>
          <w:divBdr>
            <w:top w:val="none" w:sz="0" w:space="0" w:color="auto"/>
            <w:left w:val="none" w:sz="0" w:space="0" w:color="auto"/>
            <w:bottom w:val="none" w:sz="0" w:space="0" w:color="auto"/>
            <w:right w:val="none" w:sz="0" w:space="0" w:color="auto"/>
          </w:divBdr>
        </w:div>
        <w:div w:id="337738200">
          <w:marLeft w:val="0"/>
          <w:marRight w:val="0"/>
          <w:marTop w:val="0"/>
          <w:marBottom w:val="0"/>
          <w:divBdr>
            <w:top w:val="none" w:sz="0" w:space="0" w:color="auto"/>
            <w:left w:val="none" w:sz="0" w:space="0" w:color="auto"/>
            <w:bottom w:val="none" w:sz="0" w:space="0" w:color="auto"/>
            <w:right w:val="none" w:sz="0" w:space="0" w:color="auto"/>
          </w:divBdr>
        </w:div>
        <w:div w:id="358623524">
          <w:marLeft w:val="0"/>
          <w:marRight w:val="0"/>
          <w:marTop w:val="0"/>
          <w:marBottom w:val="0"/>
          <w:divBdr>
            <w:top w:val="none" w:sz="0" w:space="0" w:color="auto"/>
            <w:left w:val="none" w:sz="0" w:space="0" w:color="auto"/>
            <w:bottom w:val="none" w:sz="0" w:space="0" w:color="auto"/>
            <w:right w:val="none" w:sz="0" w:space="0" w:color="auto"/>
          </w:divBdr>
        </w:div>
        <w:div w:id="1082143085">
          <w:marLeft w:val="0"/>
          <w:marRight w:val="0"/>
          <w:marTop w:val="0"/>
          <w:marBottom w:val="0"/>
          <w:divBdr>
            <w:top w:val="none" w:sz="0" w:space="0" w:color="auto"/>
            <w:left w:val="none" w:sz="0" w:space="0" w:color="auto"/>
            <w:bottom w:val="none" w:sz="0" w:space="0" w:color="auto"/>
            <w:right w:val="none" w:sz="0" w:space="0" w:color="auto"/>
          </w:divBdr>
        </w:div>
        <w:div w:id="1185748996">
          <w:marLeft w:val="0"/>
          <w:marRight w:val="0"/>
          <w:marTop w:val="0"/>
          <w:marBottom w:val="0"/>
          <w:divBdr>
            <w:top w:val="none" w:sz="0" w:space="0" w:color="auto"/>
            <w:left w:val="none" w:sz="0" w:space="0" w:color="auto"/>
            <w:bottom w:val="none" w:sz="0" w:space="0" w:color="auto"/>
            <w:right w:val="none" w:sz="0" w:space="0" w:color="auto"/>
          </w:divBdr>
        </w:div>
        <w:div w:id="1609265779">
          <w:marLeft w:val="0"/>
          <w:marRight w:val="0"/>
          <w:marTop w:val="0"/>
          <w:marBottom w:val="0"/>
          <w:divBdr>
            <w:top w:val="none" w:sz="0" w:space="0" w:color="auto"/>
            <w:left w:val="none" w:sz="0" w:space="0" w:color="auto"/>
            <w:bottom w:val="none" w:sz="0" w:space="0" w:color="auto"/>
            <w:right w:val="none" w:sz="0" w:space="0" w:color="auto"/>
          </w:divBdr>
        </w:div>
        <w:div w:id="1654522115">
          <w:marLeft w:val="0"/>
          <w:marRight w:val="0"/>
          <w:marTop w:val="0"/>
          <w:marBottom w:val="0"/>
          <w:divBdr>
            <w:top w:val="none" w:sz="0" w:space="0" w:color="auto"/>
            <w:left w:val="none" w:sz="0" w:space="0" w:color="auto"/>
            <w:bottom w:val="none" w:sz="0" w:space="0" w:color="auto"/>
            <w:right w:val="none" w:sz="0" w:space="0" w:color="auto"/>
          </w:divBdr>
        </w:div>
        <w:div w:id="1942104104">
          <w:marLeft w:val="0"/>
          <w:marRight w:val="0"/>
          <w:marTop w:val="0"/>
          <w:marBottom w:val="0"/>
          <w:divBdr>
            <w:top w:val="none" w:sz="0" w:space="0" w:color="auto"/>
            <w:left w:val="none" w:sz="0" w:space="0" w:color="auto"/>
            <w:bottom w:val="none" w:sz="0" w:space="0" w:color="auto"/>
            <w:right w:val="none" w:sz="0" w:space="0" w:color="auto"/>
          </w:divBdr>
        </w:div>
        <w:div w:id="1972900752">
          <w:marLeft w:val="0"/>
          <w:marRight w:val="0"/>
          <w:marTop w:val="0"/>
          <w:marBottom w:val="0"/>
          <w:divBdr>
            <w:top w:val="none" w:sz="0" w:space="0" w:color="auto"/>
            <w:left w:val="none" w:sz="0" w:space="0" w:color="auto"/>
            <w:bottom w:val="none" w:sz="0" w:space="0" w:color="auto"/>
            <w:right w:val="none" w:sz="0" w:space="0" w:color="auto"/>
          </w:divBdr>
        </w:div>
        <w:div w:id="2017540094">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38338615">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43084595">
      <w:bodyDiv w:val="1"/>
      <w:marLeft w:val="0"/>
      <w:marRight w:val="0"/>
      <w:marTop w:val="0"/>
      <w:marBottom w:val="0"/>
      <w:divBdr>
        <w:top w:val="none" w:sz="0" w:space="0" w:color="auto"/>
        <w:left w:val="none" w:sz="0" w:space="0" w:color="auto"/>
        <w:bottom w:val="none" w:sz="0" w:space="0" w:color="auto"/>
        <w:right w:val="none" w:sz="0" w:space="0" w:color="auto"/>
      </w:divBdr>
      <w:divsChild>
        <w:div w:id="959457125">
          <w:marLeft w:val="0"/>
          <w:marRight w:val="0"/>
          <w:marTop w:val="0"/>
          <w:marBottom w:val="0"/>
          <w:divBdr>
            <w:top w:val="none" w:sz="0" w:space="0" w:color="auto"/>
            <w:left w:val="none" w:sz="0" w:space="0" w:color="auto"/>
            <w:bottom w:val="none" w:sz="0" w:space="0" w:color="auto"/>
            <w:right w:val="none" w:sz="0" w:space="0" w:color="auto"/>
          </w:divBdr>
        </w:div>
        <w:div w:id="1655135762">
          <w:marLeft w:val="0"/>
          <w:marRight w:val="0"/>
          <w:marTop w:val="0"/>
          <w:marBottom w:val="0"/>
          <w:divBdr>
            <w:top w:val="none" w:sz="0" w:space="0" w:color="auto"/>
            <w:left w:val="none" w:sz="0" w:space="0" w:color="auto"/>
            <w:bottom w:val="none" w:sz="0" w:space="0" w:color="auto"/>
            <w:right w:val="none" w:sz="0" w:space="0" w:color="auto"/>
          </w:divBdr>
        </w:div>
        <w:div w:id="1795709890">
          <w:marLeft w:val="0"/>
          <w:marRight w:val="0"/>
          <w:marTop w:val="0"/>
          <w:marBottom w:val="0"/>
          <w:divBdr>
            <w:top w:val="none" w:sz="0" w:space="0" w:color="auto"/>
            <w:left w:val="none" w:sz="0" w:space="0" w:color="auto"/>
            <w:bottom w:val="none" w:sz="0" w:space="0" w:color="auto"/>
            <w:right w:val="none" w:sz="0" w:space="0" w:color="auto"/>
          </w:divBdr>
        </w:div>
        <w:div w:id="1992369451">
          <w:marLeft w:val="0"/>
          <w:marRight w:val="0"/>
          <w:marTop w:val="0"/>
          <w:marBottom w:val="0"/>
          <w:divBdr>
            <w:top w:val="none" w:sz="0" w:space="0" w:color="auto"/>
            <w:left w:val="none" w:sz="0" w:space="0" w:color="auto"/>
            <w:bottom w:val="none" w:sz="0" w:space="0" w:color="auto"/>
            <w:right w:val="none" w:sz="0" w:space="0" w:color="auto"/>
          </w:divBdr>
        </w:div>
      </w:divsChild>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4CA89334-8940-4DDD-B2EB-CACD05CB6A25}"/>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1078</Words>
  <Characters>6147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Entyvio 2004-A SGM 2024</vt:lpstr>
    </vt:vector>
  </TitlesOfParts>
  <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Entyvio SGM 2004-A</dc:title>
  <dc:subject>Entyvio SGM 2004-A</dc:subject>
  <dc:creator>CVS Caremark</dc:creator>
  <cp:keywords/>
  <cp:lastModifiedBy>Ortiz, Erica M</cp:lastModifiedBy>
  <cp:revision>4</cp:revision>
  <cp:lastPrinted>2024-04-08T15:36:00Z</cp:lastPrinted>
  <dcterms:created xsi:type="dcterms:W3CDTF">2025-03-21T16:36:00Z</dcterms:created>
  <dcterms:modified xsi:type="dcterms:W3CDTF">2025-03-21T16:38:00Z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535800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